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3027"/>
        <w:gridCol w:w="905"/>
        <w:gridCol w:w="2250"/>
        <w:gridCol w:w="905"/>
        <w:gridCol w:w="2248"/>
      </w:tblGrid>
      <w:tr w:rsidR="00953CA7" w:rsidRPr="00953CA7" w14:paraId="7F82EC49" w14:textId="77777777" w:rsidTr="00953CA7">
        <w:trPr>
          <w:trHeight w:val="72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23D00CAC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01.07.2018</w:t>
            </w:r>
          </w:p>
        </w:tc>
      </w:tr>
      <w:tr w:rsidR="00953CA7" w:rsidRPr="00953CA7" w14:paraId="5F35AA7E" w14:textId="77777777" w:rsidTr="00953CA7">
        <w:trPr>
          <w:trHeight w:val="300"/>
        </w:trPr>
        <w:tc>
          <w:tcPr>
            <w:tcW w:w="1621" w:type="pct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CAFA980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займов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066C70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69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37AF5D4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1п/г 2018 г.</w:t>
            </w:r>
          </w:p>
        </w:tc>
      </w:tr>
      <w:tr w:rsidR="00953CA7" w:rsidRPr="00953CA7" w14:paraId="603E0A6F" w14:textId="77777777" w:rsidTr="00953CA7">
        <w:trPr>
          <w:trHeight w:val="300"/>
        </w:trPr>
        <w:tc>
          <w:tcPr>
            <w:tcW w:w="1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DA93DE" w14:textId="77777777" w:rsidR="00953CA7" w:rsidRPr="00953CA7" w:rsidRDefault="00953CA7" w:rsidP="0095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77B4C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0F1EFAB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48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8463E4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DF8E38A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953CA7" w:rsidRPr="00953CA7" w14:paraId="63CF1631" w14:textId="77777777" w:rsidTr="00953CA7">
        <w:trPr>
          <w:trHeight w:val="315"/>
        </w:trPr>
        <w:tc>
          <w:tcPr>
            <w:tcW w:w="1621" w:type="pct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7233458" w14:textId="77777777" w:rsidR="00953CA7" w:rsidRPr="00953CA7" w:rsidRDefault="00953CA7" w:rsidP="00953C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9BDCA7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598</w:t>
            </w:r>
          </w:p>
        </w:tc>
        <w:tc>
          <w:tcPr>
            <w:tcW w:w="1204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726CAD7C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694 367</w:t>
            </w:r>
          </w:p>
        </w:tc>
        <w:tc>
          <w:tcPr>
            <w:tcW w:w="485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485E70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1204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95BDA36" w14:textId="77777777" w:rsidR="00953CA7" w:rsidRPr="00953CA7" w:rsidRDefault="00953CA7" w:rsidP="00953CA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53CA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100 075</w:t>
            </w:r>
          </w:p>
        </w:tc>
      </w:tr>
    </w:tbl>
    <w:p w14:paraId="59D92620" w14:textId="3DC6B44D" w:rsidR="008E3328" w:rsidRDefault="008E3328"/>
    <w:tbl>
      <w:tblPr>
        <w:tblW w:w="5000" w:type="pct"/>
        <w:tblLook w:val="04A0" w:firstRow="1" w:lastRow="0" w:firstColumn="1" w:lastColumn="0" w:noHBand="0" w:noVBand="1"/>
      </w:tblPr>
      <w:tblGrid>
        <w:gridCol w:w="998"/>
        <w:gridCol w:w="621"/>
        <w:gridCol w:w="813"/>
        <w:gridCol w:w="770"/>
        <w:gridCol w:w="754"/>
        <w:gridCol w:w="1028"/>
        <w:gridCol w:w="792"/>
        <w:gridCol w:w="1137"/>
        <w:gridCol w:w="1094"/>
        <w:gridCol w:w="654"/>
        <w:gridCol w:w="674"/>
      </w:tblGrid>
      <w:tr w:rsidR="00474EEC" w:rsidRPr="00474EEC" w14:paraId="04ABE2B7" w14:textId="77777777" w:rsidTr="00474EE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33F7659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займы по видам деятельности на 01.07.2018</w:t>
            </w:r>
          </w:p>
        </w:tc>
      </w:tr>
      <w:tr w:rsidR="00474EEC" w:rsidRPr="00474EEC" w14:paraId="2D1E27B2" w14:textId="77777777" w:rsidTr="00474EEC">
        <w:trPr>
          <w:trHeight w:val="1035"/>
        </w:trPr>
        <w:tc>
          <w:tcPr>
            <w:tcW w:w="92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1254AAA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EAE40D7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</w:t>
            </w:r>
            <w:proofErr w:type="spellStart"/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DFA2CDB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97A29B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45CE0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FCD0F4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E9239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082B5C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75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41C6B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7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6733753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74EEC" w:rsidRPr="00474EEC" w14:paraId="39B0893B" w14:textId="77777777" w:rsidTr="00474EEC">
        <w:trPr>
          <w:trHeight w:val="315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8E5A882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D7E830F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6856F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E9A287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0CFF85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B34923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9A9EA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C86CEB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075767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7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0D0B3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</w:t>
            </w:r>
          </w:p>
        </w:tc>
        <w:tc>
          <w:tcPr>
            <w:tcW w:w="37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434B68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</w:tr>
      <w:tr w:rsidR="00474EEC" w:rsidRPr="00474EEC" w14:paraId="5519F0F5" w14:textId="77777777" w:rsidTr="00474EEC">
        <w:trPr>
          <w:trHeight w:val="450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48D7BF8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2D9A347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98786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76 550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10A61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162 369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E80EF7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67 283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9310F1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100 354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DC717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63 040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B9985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73 255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CD46D4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80 630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22FFBE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70 886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CB9F5DE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694 367</w:t>
            </w:r>
          </w:p>
        </w:tc>
      </w:tr>
      <w:tr w:rsidR="00474EEC" w:rsidRPr="00474EEC" w14:paraId="70BD92D1" w14:textId="77777777" w:rsidTr="00474EEC">
        <w:trPr>
          <w:trHeight w:val="315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14:paraId="5F3DC064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п/г 2018 г.</w:t>
            </w: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0AB0EA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31F320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8DE9A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909AD4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908B9D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8BC49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C0379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CE39B0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7CAAA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7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076984D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</w:t>
            </w:r>
          </w:p>
        </w:tc>
      </w:tr>
      <w:tr w:rsidR="00474EEC" w:rsidRPr="00474EEC" w14:paraId="7FA92E23" w14:textId="77777777" w:rsidTr="00474EEC">
        <w:trPr>
          <w:trHeight w:val="450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14:paraId="33B65BC1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9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5EAD074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4BEE12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18 300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9132A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15 100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60F7F1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2 825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14AF8B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23 200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9F3CEA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4 550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F0B98B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8 000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0AEFDA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12 900</w:t>
            </w:r>
          </w:p>
        </w:tc>
        <w:tc>
          <w:tcPr>
            <w:tcW w:w="37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03652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15 200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509D24" w14:textId="77777777" w:rsidR="00474EEC" w:rsidRPr="00474EEC" w:rsidRDefault="00474EEC" w:rsidP="00474EE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100 075</w:t>
            </w:r>
          </w:p>
        </w:tc>
      </w:tr>
    </w:tbl>
    <w:p w14:paraId="0AFFCFE8" w14:textId="185C0089" w:rsidR="00474EEC" w:rsidRDefault="00474EEC"/>
    <w:p w14:paraId="1C8D3926" w14:textId="74A5EF48" w:rsidR="00474EEC" w:rsidRDefault="00474EEC">
      <w:r>
        <w:rPr>
          <w:noProof/>
        </w:rPr>
        <w:drawing>
          <wp:inline distT="0" distB="0" distL="0" distR="0" wp14:anchorId="1CD99E69" wp14:editId="15E5E22E">
            <wp:extent cx="5940425" cy="3256280"/>
            <wp:effectExtent l="0" t="0" r="3175" b="1270"/>
            <wp:docPr id="1" name="Диаграмма 1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4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66856158" w14:textId="25F44EFA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4239"/>
        <w:gridCol w:w="811"/>
        <w:gridCol w:w="1737"/>
        <w:gridCol w:w="811"/>
        <w:gridCol w:w="1737"/>
      </w:tblGrid>
      <w:tr w:rsidR="00474EEC" w:rsidRPr="00474EEC" w14:paraId="42FA84AF" w14:textId="77777777" w:rsidTr="00474EEC">
        <w:trPr>
          <w:trHeight w:val="630"/>
        </w:trPr>
        <w:tc>
          <w:tcPr>
            <w:tcW w:w="5000" w:type="pct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7051A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Результаты деятельности МКК "Сахалинский Фонд развития предпринимательства" по состоянию на 01.07.2018</w:t>
            </w:r>
          </w:p>
        </w:tc>
      </w:tr>
      <w:tr w:rsidR="00474EEC" w:rsidRPr="00474EEC" w14:paraId="4491BF45" w14:textId="77777777" w:rsidTr="00474EEC">
        <w:trPr>
          <w:trHeight w:val="300"/>
        </w:trPr>
        <w:tc>
          <w:tcPr>
            <w:tcW w:w="2618" w:type="pct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C10CCF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Предоставлено поручительств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1535D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Всего выданные</w:t>
            </w:r>
          </w:p>
        </w:tc>
        <w:tc>
          <w:tcPr>
            <w:tcW w:w="119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4C0693A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 за 1 п/г 2018 г.</w:t>
            </w:r>
          </w:p>
        </w:tc>
      </w:tr>
      <w:tr w:rsidR="00474EEC" w:rsidRPr="00474EEC" w14:paraId="5CA565A9" w14:textId="77777777" w:rsidTr="00474EEC">
        <w:trPr>
          <w:trHeight w:val="300"/>
        </w:trPr>
        <w:tc>
          <w:tcPr>
            <w:tcW w:w="261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6394CE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507B66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AECB9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  <w:tc>
          <w:tcPr>
            <w:tcW w:w="3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782190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8AC7F89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Сумма (тыс. руб.)</w:t>
            </w:r>
          </w:p>
        </w:tc>
      </w:tr>
      <w:tr w:rsidR="00474EEC" w:rsidRPr="00474EEC" w14:paraId="584DBBB0" w14:textId="77777777" w:rsidTr="00474EEC">
        <w:trPr>
          <w:trHeight w:val="300"/>
        </w:trPr>
        <w:tc>
          <w:tcPr>
            <w:tcW w:w="2618" w:type="pct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39FBC1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7C0283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331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94EE8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1 190 078</w:t>
            </w:r>
          </w:p>
        </w:tc>
        <w:tc>
          <w:tcPr>
            <w:tcW w:w="342" w:type="pct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D4E2AA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085912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125 695</w:t>
            </w:r>
          </w:p>
        </w:tc>
      </w:tr>
      <w:tr w:rsidR="00474EEC" w:rsidRPr="00474EEC" w14:paraId="202C4D1A" w14:textId="77777777" w:rsidTr="00474EEC">
        <w:trPr>
          <w:trHeight w:val="555"/>
        </w:trPr>
        <w:tc>
          <w:tcPr>
            <w:tcW w:w="2618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2638F6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Кредиты, обеспеченные поручительствами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0A641009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C7D48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2 997 220</w:t>
            </w:r>
          </w:p>
        </w:tc>
        <w:tc>
          <w:tcPr>
            <w:tcW w:w="342" w:type="pct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7C302B48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9" w:type="pct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EF961D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321 286</w:t>
            </w:r>
          </w:p>
        </w:tc>
      </w:tr>
    </w:tbl>
    <w:p w14:paraId="288696C7" w14:textId="346F130B" w:rsidR="00474EEC" w:rsidRDefault="00474EEC"/>
    <w:tbl>
      <w:tblPr>
        <w:tblW w:w="5000" w:type="pct"/>
        <w:tblLook w:val="04A0" w:firstRow="1" w:lastRow="0" w:firstColumn="1" w:lastColumn="0" w:noHBand="0" w:noVBand="1"/>
      </w:tblPr>
      <w:tblGrid>
        <w:gridCol w:w="985"/>
        <w:gridCol w:w="614"/>
        <w:gridCol w:w="802"/>
        <w:gridCol w:w="760"/>
        <w:gridCol w:w="745"/>
        <w:gridCol w:w="1013"/>
        <w:gridCol w:w="782"/>
        <w:gridCol w:w="1120"/>
        <w:gridCol w:w="1078"/>
        <w:gridCol w:w="666"/>
        <w:gridCol w:w="770"/>
      </w:tblGrid>
      <w:tr w:rsidR="00474EEC" w:rsidRPr="00474EEC" w14:paraId="56114E3E" w14:textId="77777777" w:rsidTr="00474EEC">
        <w:trPr>
          <w:trHeight w:val="315"/>
        </w:trPr>
        <w:tc>
          <w:tcPr>
            <w:tcW w:w="5000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10C44ED7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Выданные поручительства по видам деятельности на 01.07.2018</w:t>
            </w:r>
          </w:p>
        </w:tc>
      </w:tr>
      <w:tr w:rsidR="00474EEC" w:rsidRPr="00474EEC" w14:paraId="76E39AE1" w14:textId="77777777" w:rsidTr="00474EEC">
        <w:trPr>
          <w:trHeight w:val="1035"/>
        </w:trPr>
        <w:tc>
          <w:tcPr>
            <w:tcW w:w="901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38CF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Период</w:t>
            </w:r>
          </w:p>
        </w:tc>
        <w:tc>
          <w:tcPr>
            <w:tcW w:w="416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A72F362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Грузовые и </w:t>
            </w:r>
            <w:proofErr w:type="gramStart"/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пассажир-</w:t>
            </w:r>
            <w:proofErr w:type="spellStart"/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ские</w:t>
            </w:r>
            <w:proofErr w:type="spellEnd"/>
            <w:proofErr w:type="gramEnd"/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перевозки</w:t>
            </w:r>
          </w:p>
        </w:tc>
        <w:tc>
          <w:tcPr>
            <w:tcW w:w="407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36EFDDE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Торговля</w:t>
            </w:r>
          </w:p>
        </w:tc>
        <w:tc>
          <w:tcPr>
            <w:tcW w:w="383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B21B972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услуги</w:t>
            </w:r>
          </w:p>
        </w:tc>
        <w:tc>
          <w:tcPr>
            <w:tcW w:w="538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7D416EA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Производство</w:t>
            </w:r>
          </w:p>
        </w:tc>
        <w:tc>
          <w:tcPr>
            <w:tcW w:w="405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E7FFA4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Сельское хозяйство</w:t>
            </w:r>
          </w:p>
        </w:tc>
        <w:tc>
          <w:tcPr>
            <w:tcW w:w="600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EB2605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рыболовство и рыбопереработка</w:t>
            </w:r>
          </w:p>
        </w:tc>
        <w:tc>
          <w:tcPr>
            <w:tcW w:w="576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1C27F4C8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Строительство</w:t>
            </w:r>
          </w:p>
        </w:tc>
        <w:tc>
          <w:tcPr>
            <w:tcW w:w="374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43E64F3C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Прочие</w:t>
            </w:r>
          </w:p>
        </w:tc>
        <w:tc>
          <w:tcPr>
            <w:tcW w:w="399" w:type="pct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757A7B93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</w:tr>
      <w:tr w:rsidR="00474EEC" w:rsidRPr="00474EEC" w14:paraId="2BEBC238" w14:textId="77777777" w:rsidTr="00474EEC">
        <w:trPr>
          <w:trHeight w:val="315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14B999E9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весь период деятельности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2F522FFA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7435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407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B033C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157</w:t>
            </w:r>
          </w:p>
        </w:tc>
        <w:tc>
          <w:tcPr>
            <w:tcW w:w="383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C04AC5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538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010E62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405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17C86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600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62FFF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6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03688C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</w:t>
            </w:r>
          </w:p>
        </w:tc>
        <w:tc>
          <w:tcPr>
            <w:tcW w:w="374" w:type="pct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CEA25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</w:t>
            </w:r>
          </w:p>
        </w:tc>
        <w:tc>
          <w:tcPr>
            <w:tcW w:w="399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135E700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331</w:t>
            </w:r>
          </w:p>
        </w:tc>
      </w:tr>
      <w:tr w:rsidR="00474EEC" w:rsidRPr="00474EEC" w14:paraId="0B103E81" w14:textId="77777777" w:rsidTr="00474EEC">
        <w:trPr>
          <w:trHeight w:val="480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0E86A24F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E0D5A82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5614B4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127 876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651150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477 232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55EE53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24 171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A4ABD6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68 062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6107BC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23 627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728CB8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20 921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8D2505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250 619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D1F0C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197 570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0FED5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1 190 078</w:t>
            </w:r>
          </w:p>
        </w:tc>
      </w:tr>
      <w:tr w:rsidR="00474EEC" w:rsidRPr="00474EEC" w14:paraId="1881C83B" w14:textId="77777777" w:rsidTr="00474EEC">
        <w:trPr>
          <w:trHeight w:val="735"/>
        </w:trPr>
        <w:tc>
          <w:tcPr>
            <w:tcW w:w="52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093A9AE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За 1 п/г 2018 г.</w:t>
            </w: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8565B8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Кол-во</w:t>
            </w:r>
          </w:p>
        </w:tc>
        <w:tc>
          <w:tcPr>
            <w:tcW w:w="4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0307D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4F9D5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8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54DAB8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5787D4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02B8B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742EA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D7F2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74AD07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99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1EAA8E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</w:tr>
      <w:tr w:rsidR="00474EEC" w:rsidRPr="00474EEC" w14:paraId="064CC5EB" w14:textId="77777777" w:rsidTr="00474EEC">
        <w:trPr>
          <w:trHeight w:val="315"/>
        </w:trPr>
        <w:tc>
          <w:tcPr>
            <w:tcW w:w="52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45EB2D37" w14:textId="77777777" w:rsidR="00474EEC" w:rsidRPr="00474EEC" w:rsidRDefault="00474EEC" w:rsidP="00474E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7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A327025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Сумма</w:t>
            </w:r>
          </w:p>
        </w:tc>
        <w:tc>
          <w:tcPr>
            <w:tcW w:w="41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51B20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27 474</w:t>
            </w:r>
          </w:p>
        </w:tc>
        <w:tc>
          <w:tcPr>
            <w:tcW w:w="407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EE72B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27 755</w:t>
            </w:r>
          </w:p>
        </w:tc>
        <w:tc>
          <w:tcPr>
            <w:tcW w:w="383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B4ADE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38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7F55D3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3 500</w:t>
            </w:r>
          </w:p>
        </w:tc>
        <w:tc>
          <w:tcPr>
            <w:tcW w:w="405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0C4543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600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C9EB5D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</w:t>
            </w:r>
          </w:p>
        </w:tc>
        <w:tc>
          <w:tcPr>
            <w:tcW w:w="576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572854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22 587</w:t>
            </w:r>
          </w:p>
        </w:tc>
        <w:tc>
          <w:tcPr>
            <w:tcW w:w="374" w:type="pct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2D451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44 379</w:t>
            </w:r>
          </w:p>
        </w:tc>
        <w:tc>
          <w:tcPr>
            <w:tcW w:w="399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187EAEF" w14:textId="77777777" w:rsidR="00474EEC" w:rsidRPr="00474EEC" w:rsidRDefault="00474EEC" w:rsidP="00474E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EE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125 695</w:t>
            </w:r>
          </w:p>
        </w:tc>
      </w:tr>
    </w:tbl>
    <w:p w14:paraId="243A54DB" w14:textId="77777777" w:rsidR="00474EEC" w:rsidRDefault="00474EEC"/>
    <w:p w14:paraId="635F7BBE" w14:textId="5CCB4E45" w:rsidR="00474EEC" w:rsidRDefault="00474EEC">
      <w:r>
        <w:rPr>
          <w:noProof/>
        </w:rPr>
        <w:drawing>
          <wp:inline distT="0" distB="0" distL="0" distR="0" wp14:anchorId="7E869A75" wp14:editId="68A13B7D">
            <wp:extent cx="5940425" cy="3672840"/>
            <wp:effectExtent l="0" t="0" r="3175" b="3810"/>
            <wp:docPr id="2" name="Диаграмма 2">
              <a:extLst xmlns:a="http://schemas.openxmlformats.org/drawingml/2006/main">
                <a:ext uri="{FF2B5EF4-FFF2-40B4-BE49-F238E27FC236}">
                  <a16:creationId xmlns:a16="http://schemas.microsoft.com/office/drawing/2014/main" id="{00000000-0008-0000-0000-000007000000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474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624"/>
    <w:rsid w:val="0018397C"/>
    <w:rsid w:val="002E4C5C"/>
    <w:rsid w:val="00474EEC"/>
    <w:rsid w:val="008E3328"/>
    <w:rsid w:val="00953CA7"/>
    <w:rsid w:val="00974624"/>
    <w:rsid w:val="00BD5D4F"/>
    <w:rsid w:val="00FD3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17B91E"/>
  <w15:chartTrackingRefBased/>
  <w15:docId w15:val="{D3FF2315-95FE-4223-84CC-F565247DA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15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7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9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2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server\&#1044;&#1083;&#1103;%20&#1074;&#1089;&#1077;&#1093;!!!\&#1056;&#1077;&#1079;&#1091;&#1083;&#1100;&#1090;&#1072;&#1090;&#1099;_&#1044;&#1077;&#1103;&#1090;_&#1044;&#1083;&#1103;&#1056;&#1072;&#1079;&#1084;&#1077;&#1097;_&#1057;&#1072;&#1081;&#1090;\2018\1_&#1087;&#1086;&#1083;&#1091;&#1075;&#1086;&#1076;&#1080;&#1077;\&#1056;&#1077;&#1079;&#1044;&#1077;&#1103;&#1090;_&#1085;&#1072;_01.07.2018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oleObject" Target="file:///\\server\&#1044;&#1083;&#1103;%20&#1074;&#1089;&#1077;&#1093;!!!\&#1056;&#1077;&#1079;&#1091;&#1083;&#1100;&#1090;&#1072;&#1090;&#1099;_&#1044;&#1077;&#1103;&#1090;_&#1044;&#1083;&#1103;&#1056;&#1072;&#1079;&#1084;&#1077;&#1097;_&#1057;&#1072;&#1081;&#1090;\2018\1_&#1087;&#1086;&#1083;&#1091;&#1075;&#1086;&#1076;&#1080;&#1077;\&#1056;&#1077;&#1079;&#1044;&#1077;&#1103;&#1090;_&#1085;&#1072;_01.07.2018.xlsx" TargetMode="External"/><Relationship Id="rId1" Type="http://schemas.openxmlformats.org/officeDocument/2006/relationships/themeOverride" Target="../theme/themeOverrid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Структура портфеля займов </a:t>
            </a:r>
          </a:p>
          <a:p>
            <a:pPr>
              <a:defRPr/>
            </a:pPr>
            <a:r>
              <a:rPr lang="ru-RU" sz="1800" b="1" i="0" baseline="0">
                <a:latin typeface="Century Schoolbook" pitchFamily="18" charset="0"/>
              </a:rPr>
              <a:t> по состоянию на 01.07.2018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4.8008595242875096E-2"/>
                  <c:y val="2.375469396450923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055-467A-909A-C2E3F30A0C50}"/>
                </c:ext>
              </c:extLst>
            </c:dLbl>
            <c:dLbl>
              <c:idx val="1"/>
              <c:layout>
                <c:manualLayout>
                  <c:x val="3.9819365045122852E-2"/>
                  <c:y val="-3.6525860464019899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055-467A-909A-C2E3F30A0C50}"/>
                </c:ext>
              </c:extLst>
            </c:dLbl>
            <c:dLbl>
              <c:idx val="2"/>
              <c:layout>
                <c:manualLayout>
                  <c:x val="4.1336056584476234E-2"/>
                  <c:y val="-7.1398177988749964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6055-467A-909A-C2E3F30A0C50}"/>
                </c:ext>
              </c:extLst>
            </c:dLbl>
            <c:dLbl>
              <c:idx val="3"/>
              <c:layout>
                <c:manualLayout>
                  <c:x val="-5.4109511683164087E-2"/>
                  <c:y val="8.38827163390906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55-467A-909A-C2E3F30A0C50}"/>
                </c:ext>
              </c:extLst>
            </c:dLbl>
            <c:dLbl>
              <c:idx val="4"/>
              <c:layout>
                <c:manualLayout>
                  <c:x val="-3.4087491431635995E-2"/>
                  <c:y val="9.3576205886337568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6055-467A-909A-C2E3F30A0C50}"/>
                </c:ext>
              </c:extLst>
            </c:dLbl>
            <c:dLbl>
              <c:idx val="5"/>
              <c:layout>
                <c:manualLayout>
                  <c:x val="1.1714773812948661E-3"/>
                  <c:y val="9.25414625780826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6055-467A-909A-C2E3F30A0C50}"/>
                </c:ext>
              </c:extLst>
            </c:dLbl>
            <c:dLbl>
              <c:idx val="6"/>
              <c:layout>
                <c:manualLayout>
                  <c:x val="3.9326210286037194E-2"/>
                  <c:y val="-8.184765509265452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6055-467A-909A-C2E3F30A0C50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6055-467A-909A-C2E3F30A0C50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РезДеят!$A$18:$A$25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Сельское хозяйство</c:v>
                </c:pt>
                <c:pt idx="5">
                  <c:v>Рыболовство и рыбопереработка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РезДеят!$D$18:$D$25</c:f>
              <c:numCache>
                <c:formatCode>0.0%</c:formatCode>
                <c:ptCount val="8"/>
                <c:pt idx="0">
                  <c:v>0.15570271638265565</c:v>
                </c:pt>
                <c:pt idx="1">
                  <c:v>0.18565041336257804</c:v>
                </c:pt>
                <c:pt idx="2">
                  <c:v>6.6327821832292896E-2</c:v>
                </c:pt>
                <c:pt idx="3">
                  <c:v>0.12335920364433946</c:v>
                </c:pt>
                <c:pt idx="4">
                  <c:v>9.5107136831449293E-2</c:v>
                </c:pt>
                <c:pt idx="5">
                  <c:v>0.1097435464822001</c:v>
                </c:pt>
                <c:pt idx="6">
                  <c:v>0.13731651763117936</c:v>
                </c:pt>
                <c:pt idx="7">
                  <c:v>0.12679264383330521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6055-467A-909A-C2E3F30A0C5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Структура портфеля поручительств </a:t>
            </a:r>
          </a:p>
          <a:p>
            <a:pPr algn="ctr">
              <a:defRPr>
                <a:latin typeface="Century Schoolbook" pitchFamily="18" charset="0"/>
              </a:defRPr>
            </a:pPr>
            <a:r>
              <a:rPr lang="ru-RU" sz="1800" b="1" i="0" baseline="0">
                <a:latin typeface="Century Schoolbook" pitchFamily="18" charset="0"/>
              </a:rPr>
              <a:t>по состоянию на 01.0</a:t>
            </a:r>
            <a:r>
              <a:rPr lang="en-US" sz="1800" b="1" i="0" baseline="0">
                <a:latin typeface="Century Schoolbook" pitchFamily="18" charset="0"/>
              </a:rPr>
              <a:t>7</a:t>
            </a:r>
            <a:r>
              <a:rPr lang="ru-RU" sz="1800" b="1" i="0" baseline="0">
                <a:latin typeface="Century Schoolbook" pitchFamily="18" charset="0"/>
              </a:rPr>
              <a:t>.2018</a:t>
            </a:r>
            <a:r>
              <a:rPr lang="ru-RU">
                <a:latin typeface="Century Schoolbook" pitchFamily="18" charset="0"/>
              </a:rPr>
              <a:t> </a:t>
            </a:r>
          </a:p>
        </c:rich>
      </c:tx>
      <c:overlay val="0"/>
    </c:title>
    <c:autoTitleDeleted val="0"/>
    <c:view3D>
      <c:rotX val="30"/>
      <c:rotY val="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807691456776007"/>
          <c:y val="0.26308536567619539"/>
          <c:w val="0.84103643550674378"/>
          <c:h val="0.65808239647515265"/>
        </c:manualLayout>
      </c:layout>
      <c:pie3DChart>
        <c:varyColors val="1"/>
        <c:ser>
          <c:idx val="0"/>
          <c:order val="0"/>
          <c:explosion val="11"/>
          <c:dLbls>
            <c:dLbl>
              <c:idx val="0"/>
              <c:layout>
                <c:manualLayout>
                  <c:x val="6.7249565477217541E-2"/>
                  <c:y val="9.923383539713105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AAE3-448B-80E9-ED31781D5086}"/>
                </c:ext>
              </c:extLst>
            </c:dLbl>
            <c:dLbl>
              <c:idx val="1"/>
              <c:layout>
                <c:manualLayout>
                  <c:x val="4.6103253101650706E-2"/>
                  <c:y val="7.0698680215552723E-3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AE3-448B-80E9-ED31781D5086}"/>
                </c:ext>
              </c:extLst>
            </c:dLbl>
            <c:dLbl>
              <c:idx val="2"/>
              <c:layout>
                <c:manualLayout>
                  <c:x val="2.2241318864184719E-3"/>
                  <c:y val="8.237228063366504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AAE3-448B-80E9-ED31781D5086}"/>
                </c:ext>
              </c:extLst>
            </c:dLbl>
            <c:dLbl>
              <c:idx val="3"/>
              <c:layout>
                <c:manualLayout>
                  <c:x val="-0.11305638906307208"/>
                  <c:y val="2.795683993857614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AE3-448B-80E9-ED31781D5086}"/>
                </c:ext>
              </c:extLst>
            </c:dLbl>
            <c:dLbl>
              <c:idx val="4"/>
              <c:layout>
                <c:manualLayout>
                  <c:x val="-5.1586537022174972E-2"/>
                  <c:y val="-5.71218969647408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AAE3-448B-80E9-ED31781D5086}"/>
                </c:ext>
              </c:extLst>
            </c:dLbl>
            <c:dLbl>
              <c:idx val="5"/>
              <c:layout>
                <c:manualLayout>
                  <c:x val="-4.7740860291982476E-2"/>
                  <c:y val="-0.13841495954084579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AAE3-448B-80E9-ED31781D5086}"/>
                </c:ext>
              </c:extLst>
            </c:dLbl>
            <c:dLbl>
              <c:idx val="6"/>
              <c:layout>
                <c:manualLayout>
                  <c:x val="9.8684858406595435E-3"/>
                  <c:y val="-0.2396115812286949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AAE3-448B-80E9-ED31781D5086}"/>
                </c:ext>
              </c:extLst>
            </c:dLbl>
            <c:dLbl>
              <c:idx val="7"/>
              <c:layout>
                <c:manualLayout>
                  <c:x val="5.2482285323399734E-2"/>
                  <c:y val="-2.58844610237494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7-AAE3-448B-80E9-ED31781D5086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/>
              <a:lstStyle/>
              <a:p>
                <a:pPr>
                  <a:defRPr>
                    <a:latin typeface="Century Schoolbook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1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РезДеят!$A$59:$A$66</c:f>
              <c:strCache>
                <c:ptCount val="8"/>
                <c:pt idx="0">
                  <c:v>Грузовые и пассажирские перевозки</c:v>
                </c:pt>
                <c:pt idx="1">
                  <c:v>Торговля</c:v>
                </c:pt>
                <c:pt idx="2">
                  <c:v>Бытовые услуги</c:v>
                </c:pt>
                <c:pt idx="3">
                  <c:v>Производство</c:v>
                </c:pt>
                <c:pt idx="4">
                  <c:v>Рыболовство и рыбопереработка</c:v>
                </c:pt>
                <c:pt idx="5">
                  <c:v>Сельское хоз-во</c:v>
                </c:pt>
                <c:pt idx="6">
                  <c:v>Строительство</c:v>
                </c:pt>
                <c:pt idx="7">
                  <c:v>Прочие</c:v>
                </c:pt>
              </c:strCache>
            </c:strRef>
          </c:cat>
          <c:val>
            <c:numRef>
              <c:f>РезДеят!$D$59:$D$66</c:f>
              <c:numCache>
                <c:formatCode>0.0%</c:formatCode>
                <c:ptCount val="8"/>
                <c:pt idx="0">
                  <c:v>0.17993876708070566</c:v>
                </c:pt>
                <c:pt idx="1">
                  <c:v>0.40725639901039429</c:v>
                </c:pt>
                <c:pt idx="2">
                  <c:v>1.9268356036637554E-2</c:v>
                </c:pt>
                <c:pt idx="3">
                  <c:v>1.816548217730294E-2</c:v>
                </c:pt>
                <c:pt idx="4">
                  <c:v>2.1291001145455863E-2</c:v>
                </c:pt>
                <c:pt idx="5">
                  <c:v>4.2582002290911724E-3</c:v>
                </c:pt>
                <c:pt idx="6">
                  <c:v>0.14175761472655968</c:v>
                </c:pt>
                <c:pt idx="7">
                  <c:v>0.20806417959385287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AAE3-448B-80E9-ED31781D5086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spPr>
    <a:gradFill>
      <a:gsLst>
        <a:gs pos="0">
          <a:schemeClr val="tx2">
            <a:lumMod val="60000"/>
            <a:lumOff val="40000"/>
          </a:schemeClr>
        </a:gs>
        <a:gs pos="50000">
          <a:srgbClr val="4F81BD">
            <a:tint val="44500"/>
            <a:satMod val="160000"/>
          </a:srgbClr>
        </a:gs>
        <a:gs pos="100000">
          <a:srgbClr val="4F81BD">
            <a:tint val="23500"/>
            <a:satMod val="160000"/>
          </a:srgbClr>
        </a:gs>
      </a:gsLst>
      <a:lin ang="5400000" scaled="0"/>
    </a:gradFill>
  </c:spPr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222</Words>
  <Characters>1268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2018-07-17T03:11:00Z</dcterms:created>
  <dcterms:modified xsi:type="dcterms:W3CDTF">2018-07-17T06:52:00Z</dcterms:modified>
</cp:coreProperties>
</file>