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A3" w:rsidRPr="00A041A3" w:rsidRDefault="00A041A3" w:rsidP="00A041A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41A3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041A3" w:rsidRPr="00A041A3" w:rsidRDefault="001966DE" w:rsidP="00A041A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директора</w:t>
      </w:r>
      <w:r w:rsidR="00A041A3" w:rsidRPr="00A041A3">
        <w:rPr>
          <w:rFonts w:ascii="Times New Roman" w:hAnsi="Times New Roman" w:cs="Times New Roman"/>
          <w:bCs/>
          <w:sz w:val="28"/>
          <w:szCs w:val="28"/>
        </w:rPr>
        <w:t xml:space="preserve"> МКК «СФРП»</w:t>
      </w:r>
    </w:p>
    <w:p w:rsidR="001966DE" w:rsidRPr="00A041A3" w:rsidRDefault="00EB58F0" w:rsidP="001966DE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041A3" w:rsidRPr="00A041A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A041A3" w:rsidRPr="00A041A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966DE">
        <w:rPr>
          <w:rFonts w:ascii="Times New Roman" w:hAnsi="Times New Roman" w:cs="Times New Roman"/>
          <w:bCs/>
          <w:sz w:val="28"/>
          <w:szCs w:val="28"/>
        </w:rPr>
        <w:t>июл</w:t>
      </w:r>
      <w:r w:rsidR="00191881">
        <w:rPr>
          <w:rFonts w:ascii="Times New Roman" w:hAnsi="Times New Roman" w:cs="Times New Roman"/>
          <w:bCs/>
          <w:sz w:val="28"/>
          <w:szCs w:val="28"/>
        </w:rPr>
        <w:t>я</w:t>
      </w:r>
      <w:r w:rsidR="00A041A3" w:rsidRPr="00A041A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66DE">
        <w:rPr>
          <w:rFonts w:ascii="Times New Roman" w:hAnsi="Times New Roman" w:cs="Times New Roman"/>
          <w:bCs/>
          <w:sz w:val="28"/>
          <w:szCs w:val="28"/>
        </w:rPr>
        <w:t>20</w:t>
      </w:r>
      <w:r w:rsidR="00A041A3" w:rsidRPr="00A041A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C143F">
        <w:rPr>
          <w:rFonts w:ascii="Times New Roman" w:hAnsi="Times New Roman" w:cs="Times New Roman"/>
          <w:bCs/>
          <w:sz w:val="28"/>
          <w:szCs w:val="28"/>
        </w:rPr>
        <w:t>59/1-вн</w:t>
      </w:r>
    </w:p>
    <w:p w:rsidR="00A041A3" w:rsidRPr="00A041A3" w:rsidRDefault="00A041A3" w:rsidP="00A041A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41A3" w:rsidRPr="00A041A3" w:rsidRDefault="00A041A3" w:rsidP="00A041A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1054" w:rsidRDefault="006B1054" w:rsidP="0024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1054" w:rsidRDefault="00247394" w:rsidP="0024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94"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 w:rsidR="006B1054">
        <w:rPr>
          <w:rFonts w:ascii="Times New Roman" w:hAnsi="Times New Roman" w:cs="Times New Roman"/>
          <w:b/>
          <w:sz w:val="28"/>
          <w:szCs w:val="28"/>
        </w:rPr>
        <w:t>я</w:t>
      </w:r>
      <w:r w:rsidRPr="00247394">
        <w:rPr>
          <w:rFonts w:ascii="Times New Roman" w:hAnsi="Times New Roman" w:cs="Times New Roman"/>
          <w:b/>
          <w:sz w:val="28"/>
          <w:szCs w:val="28"/>
        </w:rPr>
        <w:t xml:space="preserve"> стоимости поручительства</w:t>
      </w:r>
      <w:r w:rsidR="006B105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B1054" w:rsidRDefault="006B1054" w:rsidP="0024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выдаваемого микрокредитной компанией </w:t>
      </w:r>
    </w:p>
    <w:p w:rsidR="006B1054" w:rsidRDefault="006B1054" w:rsidP="0024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«Сахалинский </w:t>
      </w:r>
      <w:r w:rsidR="003B0F5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онд развития предпринимательства»</w:t>
      </w:r>
    </w:p>
    <w:p w:rsidR="000D6070" w:rsidRDefault="000D6070" w:rsidP="00247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E62" w:rsidRPr="000D6070" w:rsidRDefault="00336E62" w:rsidP="00247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8E8" w:rsidRPr="001E19D6" w:rsidRDefault="00F21076" w:rsidP="001E19D6">
      <w:pPr>
        <w:pStyle w:val="ConsPlusNormal"/>
        <w:widowControl/>
        <w:spacing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 xml:space="preserve">1. </w:t>
      </w:r>
      <w:r w:rsidR="00C848E8" w:rsidRPr="001E19D6">
        <w:rPr>
          <w:rFonts w:ascii="Times New Roman" w:hAnsi="Times New Roman" w:cs="Times New Roman"/>
          <w:sz w:val="28"/>
          <w:szCs w:val="28"/>
        </w:rPr>
        <w:t xml:space="preserve">Настоящий  Порядок определения стоимости поручительства, выдаваемого микрокредитной компанией «Сахалинский Фонд развития 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предпринимательства»  (далее - Порядок) определяет условия и порядок </w:t>
      </w:r>
      <w:r w:rsidR="001F6CBF" w:rsidRPr="00D65560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C848E8" w:rsidRPr="00D65560">
        <w:rPr>
          <w:rFonts w:ascii="Times New Roman" w:hAnsi="Times New Roman" w:cs="Times New Roman"/>
          <w:sz w:val="28"/>
          <w:szCs w:val="28"/>
        </w:rPr>
        <w:t>юридическим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>, отнесенны</w:t>
      </w:r>
      <w:r w:rsidR="00D65560" w:rsidRPr="00D65560">
        <w:rPr>
          <w:rFonts w:ascii="Times New Roman" w:hAnsi="Times New Roman" w:cs="Times New Roman"/>
          <w:sz w:val="28"/>
          <w:szCs w:val="28"/>
        </w:rPr>
        <w:t>ми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 в соответствии с требованиями статьи 4 Федерального закона от 24.07.2007 № 209-ФЗ «О развитии малого и среднего предпринимательства в Российской Федерации», а также юридическим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>, включенным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в перечень организаций, образующих</w:t>
      </w:r>
      <w:r w:rsidR="00C848E8" w:rsidRPr="001E19D6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организаций, образующих инфраструктуру поддержки субъектов малого и среднего предпринимательства Сахалинской области, утвержденных постановлением Правительства Сахалинской области</w:t>
      </w:r>
      <w:r w:rsidR="0051726F" w:rsidRPr="001E19D6">
        <w:rPr>
          <w:rFonts w:ascii="Times New Roman" w:hAnsi="Times New Roman" w:cs="Times New Roman"/>
          <w:sz w:val="28"/>
          <w:szCs w:val="28"/>
        </w:rPr>
        <w:t xml:space="preserve">, </w:t>
      </w:r>
      <w:r w:rsidRPr="001E19D6">
        <w:rPr>
          <w:rFonts w:ascii="Times New Roman" w:hAnsi="Times New Roman" w:cs="Times New Roman"/>
          <w:sz w:val="28"/>
          <w:szCs w:val="28"/>
        </w:rPr>
        <w:t>за полученное поручительство</w:t>
      </w:r>
      <w:r w:rsidR="00C848E8" w:rsidRPr="001E19D6">
        <w:rPr>
          <w:rFonts w:ascii="Times New Roman" w:hAnsi="Times New Roman" w:cs="Times New Roman"/>
          <w:sz w:val="28"/>
          <w:szCs w:val="28"/>
        </w:rPr>
        <w:t xml:space="preserve"> в качестве обеспечения по кредитным договорам/договорам финансовой аренды (лизинга)/договоров о предоставлении</w:t>
      </w:r>
      <w:r w:rsidR="00D65560">
        <w:rPr>
          <w:rFonts w:ascii="Times New Roman" w:hAnsi="Times New Roman" w:cs="Times New Roman"/>
          <w:sz w:val="28"/>
          <w:szCs w:val="28"/>
        </w:rPr>
        <w:t xml:space="preserve"> банковской гарантии</w:t>
      </w:r>
      <w:r w:rsidR="00C848E8" w:rsidRPr="00D65560">
        <w:rPr>
          <w:rFonts w:ascii="Times New Roman" w:hAnsi="Times New Roman" w:cs="Times New Roman"/>
          <w:sz w:val="28"/>
          <w:szCs w:val="28"/>
        </w:rPr>
        <w:t>.</w:t>
      </w:r>
    </w:p>
    <w:p w:rsidR="00F21076" w:rsidRPr="001E19D6" w:rsidRDefault="00F21076" w:rsidP="001E19D6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понятия:</w:t>
      </w:r>
    </w:p>
    <w:p w:rsidR="00F21076" w:rsidRPr="001E19D6" w:rsidRDefault="00F21076" w:rsidP="001E19D6">
      <w:pPr>
        <w:pStyle w:val="ConsPlusNormal"/>
        <w:widowControl/>
        <w:spacing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b/>
          <w:i/>
          <w:sz w:val="28"/>
          <w:szCs w:val="28"/>
        </w:rPr>
        <w:t>«Фонд»</w:t>
      </w:r>
      <w:r w:rsidRPr="001E19D6">
        <w:rPr>
          <w:rFonts w:ascii="Times New Roman" w:hAnsi="Times New Roman" w:cs="Times New Roman"/>
          <w:sz w:val="28"/>
          <w:szCs w:val="28"/>
        </w:rPr>
        <w:t xml:space="preserve"> - микрокредитная компания «Сахалинский Фонд развития предпринимательства»;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b/>
          <w:i/>
          <w:sz w:val="28"/>
          <w:szCs w:val="28"/>
        </w:rPr>
        <w:lastRenderedPageBreak/>
        <w:t>«Приоритетные виды деятельности»</w:t>
      </w:r>
      <w:r w:rsidRPr="001E19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19D6">
        <w:rPr>
          <w:rFonts w:ascii="Times New Roman" w:hAnsi="Times New Roman" w:cs="Times New Roman"/>
          <w:sz w:val="28"/>
          <w:szCs w:val="28"/>
        </w:rPr>
        <w:t>к приоритетным относятся следующие виды экономической деятельности субъектов малого и среднего предпринимательства:</w:t>
      </w:r>
    </w:p>
    <w:p w:rsidR="001862B9" w:rsidRPr="001862B9" w:rsidRDefault="00F21076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 xml:space="preserve">- </w:t>
      </w:r>
      <w:r w:rsidR="001862B9">
        <w:rPr>
          <w:rFonts w:ascii="Times New Roman" w:hAnsi="Times New Roman" w:cs="Times New Roman"/>
          <w:sz w:val="28"/>
          <w:szCs w:val="28"/>
        </w:rPr>
        <w:t xml:space="preserve">       </w:t>
      </w:r>
      <w:r w:rsidR="001862B9" w:rsidRPr="001862B9">
        <w:rPr>
          <w:rFonts w:ascii="Times New Roman" w:hAnsi="Times New Roman" w:cs="Times New Roman"/>
          <w:sz w:val="28"/>
          <w:szCs w:val="28"/>
        </w:rPr>
        <w:t>сельское хозяйство и лесное хозяйство;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</w:t>
      </w:r>
      <w:r w:rsidRPr="001862B9">
        <w:rPr>
          <w:rFonts w:ascii="Times New Roman" w:hAnsi="Times New Roman" w:cs="Times New Roman"/>
          <w:sz w:val="28"/>
          <w:szCs w:val="28"/>
        </w:rPr>
        <w:tab/>
        <w:t>рыболовство и рыбоводство;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</w:t>
      </w:r>
      <w:r w:rsidRPr="001862B9">
        <w:rPr>
          <w:rFonts w:ascii="Times New Roman" w:hAnsi="Times New Roman" w:cs="Times New Roman"/>
          <w:sz w:val="28"/>
          <w:szCs w:val="28"/>
        </w:rPr>
        <w:tab/>
        <w:t>обрабатывающие производства;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</w:t>
      </w:r>
      <w:r w:rsidRPr="001862B9">
        <w:rPr>
          <w:rFonts w:ascii="Times New Roman" w:hAnsi="Times New Roman" w:cs="Times New Roman"/>
          <w:sz w:val="28"/>
          <w:szCs w:val="28"/>
        </w:rPr>
        <w:tab/>
        <w:t>деятельность гостиниц и общественного питания;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</w:t>
      </w:r>
      <w:r w:rsidRPr="001862B9">
        <w:rPr>
          <w:rFonts w:ascii="Times New Roman" w:hAnsi="Times New Roman" w:cs="Times New Roman"/>
          <w:sz w:val="28"/>
          <w:szCs w:val="28"/>
        </w:rPr>
        <w:tab/>
        <w:t>образование;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</w:t>
      </w:r>
      <w:r w:rsidRPr="001862B9">
        <w:rPr>
          <w:rFonts w:ascii="Times New Roman" w:hAnsi="Times New Roman" w:cs="Times New Roman"/>
          <w:sz w:val="28"/>
          <w:szCs w:val="28"/>
        </w:rPr>
        <w:tab/>
        <w:t>здравоохранение и предоставление социальных услуг;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</w:t>
      </w:r>
      <w:r w:rsidRPr="001862B9">
        <w:rPr>
          <w:rFonts w:ascii="Times New Roman" w:hAnsi="Times New Roman" w:cs="Times New Roman"/>
          <w:sz w:val="28"/>
          <w:szCs w:val="28"/>
        </w:rPr>
        <w:tab/>
        <w:t>предоставление услуг населению;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</w:t>
      </w:r>
      <w:r w:rsidRPr="001862B9">
        <w:rPr>
          <w:rFonts w:ascii="Times New Roman" w:hAnsi="Times New Roman" w:cs="Times New Roman"/>
          <w:sz w:val="28"/>
          <w:szCs w:val="28"/>
        </w:rPr>
        <w:tab/>
        <w:t>деятельность в сферах туризма, экологии или спорта;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</w:t>
      </w:r>
      <w:r w:rsidRPr="001862B9">
        <w:rPr>
          <w:rFonts w:ascii="Times New Roman" w:hAnsi="Times New Roman" w:cs="Times New Roman"/>
          <w:sz w:val="28"/>
          <w:szCs w:val="28"/>
        </w:rPr>
        <w:tab/>
        <w:t>все виды деятельности, за исключением указанных в п.3.2. настоящего Порядка, получателей 1 гектара земли на территории Сахалинской области в рамках реализации Федерального закона от 01.05.2016 № 119-ФЗ «Об особенностях предоставления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</w:t>
      </w:r>
      <w:r w:rsidRPr="001862B9">
        <w:rPr>
          <w:rFonts w:ascii="Times New Roman" w:hAnsi="Times New Roman" w:cs="Times New Roman"/>
          <w:sz w:val="28"/>
          <w:szCs w:val="28"/>
        </w:rPr>
        <w:tab/>
        <w:t>деятельность субъектов МСП, зарегистрированных и осуществляющих деятельность на территориях опережающего социально-экономического развития и включенных в реестр резидентов таких территорий;</w:t>
      </w:r>
    </w:p>
    <w:p w:rsidR="001862B9" w:rsidRPr="001862B9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   экспортная деятельность;</w:t>
      </w:r>
    </w:p>
    <w:p w:rsidR="00F85F7F" w:rsidRPr="00F85F7F" w:rsidRDefault="001862B9" w:rsidP="001862B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2B9">
        <w:rPr>
          <w:rFonts w:ascii="Times New Roman" w:hAnsi="Times New Roman" w:cs="Times New Roman"/>
          <w:sz w:val="28"/>
          <w:szCs w:val="28"/>
        </w:rPr>
        <w:t>-   деятельность в сфере социального предпринимательства в соответствии с Федеральным законом от 24 июля 2007 г. N 209-ФЗ «О развитии малого и среднего предпринимательства в Российской Федерации»</w:t>
      </w:r>
      <w:r w:rsidR="00826BFB">
        <w:rPr>
          <w:rFonts w:ascii="Times New Roman" w:hAnsi="Times New Roman" w:cs="Times New Roman"/>
          <w:sz w:val="28"/>
          <w:szCs w:val="28"/>
        </w:rPr>
        <w:t>;</w:t>
      </w:r>
    </w:p>
    <w:p w:rsidR="00F21076" w:rsidRPr="001E19D6" w:rsidRDefault="00F21076" w:rsidP="00F30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D6">
        <w:rPr>
          <w:rFonts w:ascii="Times New Roman" w:hAnsi="Times New Roman" w:cs="Times New Roman"/>
          <w:b/>
          <w:i/>
          <w:sz w:val="28"/>
          <w:szCs w:val="28"/>
        </w:rPr>
        <w:t>«Прочие виды деятельности»</w:t>
      </w:r>
      <w:r w:rsidRPr="001E19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19D6">
        <w:rPr>
          <w:rFonts w:ascii="Times New Roman" w:hAnsi="Times New Roman" w:cs="Times New Roman"/>
          <w:sz w:val="28"/>
          <w:szCs w:val="28"/>
        </w:rPr>
        <w:t xml:space="preserve">деятельность субъектов малого и среднего предпринимательства не относящаяся к </w:t>
      </w:r>
      <w:r w:rsidRPr="001E19D6">
        <w:rPr>
          <w:rFonts w:ascii="Times New Roman" w:hAnsi="Times New Roman" w:cs="Times New Roman"/>
          <w:color w:val="000000"/>
          <w:sz w:val="28"/>
          <w:szCs w:val="28"/>
        </w:rPr>
        <w:t>Приоритетным видам деятельности;</w:t>
      </w:r>
    </w:p>
    <w:p w:rsidR="00247394" w:rsidRPr="001E19D6" w:rsidRDefault="00F21076" w:rsidP="001E19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7394" w:rsidRPr="001E19D6">
        <w:rPr>
          <w:rFonts w:ascii="Times New Roman" w:hAnsi="Times New Roman" w:cs="Times New Roman"/>
          <w:sz w:val="28"/>
          <w:szCs w:val="28"/>
        </w:rPr>
        <w:t>. Стоимость поручительства устанавливается в процентах годовых на первоначальную сумму поручительства и рассчитывается по формуле:</w:t>
      </w:r>
    </w:p>
    <w:p w:rsidR="00247394" w:rsidRPr="001E19D6" w:rsidRDefault="00247394" w:rsidP="001E19D6">
      <w:pPr>
        <w:tabs>
          <w:tab w:val="left" w:pos="116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E19D6">
        <w:rPr>
          <w:rFonts w:ascii="Times New Roman" w:hAnsi="Times New Roman" w:cs="Times New Roman"/>
          <w:sz w:val="28"/>
          <w:szCs w:val="28"/>
        </w:rPr>
        <w:t xml:space="preserve"> = </w:t>
      </w:r>
      <w:r w:rsidRPr="001E19D6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pt" o:ole="">
            <v:imagedata r:id="rId8" o:title=""/>
          </v:shape>
          <o:OLEObject Type="Embed" ProgID="Equation.3" ShapeID="_x0000_i1025" DrawAspect="Content" ObjectID="_1661260005" r:id="rId9"/>
        </w:object>
      </w:r>
    </w:p>
    <w:p w:rsidR="00247394" w:rsidRPr="001E19D6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где</w:t>
      </w:r>
    </w:p>
    <w:p w:rsidR="00247394" w:rsidRPr="001E19D6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EA669A" w:rsidRPr="001E19D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9D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E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9D6">
        <w:rPr>
          <w:rFonts w:ascii="Times New Roman" w:hAnsi="Times New Roman" w:cs="Times New Roman"/>
          <w:sz w:val="28"/>
          <w:szCs w:val="28"/>
        </w:rPr>
        <w:t xml:space="preserve"> </w:t>
      </w:r>
      <w:r w:rsidR="0055706D">
        <w:rPr>
          <w:rFonts w:ascii="Times New Roman" w:hAnsi="Times New Roman" w:cs="Times New Roman"/>
          <w:sz w:val="28"/>
          <w:szCs w:val="28"/>
        </w:rPr>
        <w:t xml:space="preserve">размер вознаграждения за </w:t>
      </w:r>
      <w:r w:rsidRPr="001E19D6">
        <w:rPr>
          <w:rFonts w:ascii="Times New Roman" w:hAnsi="Times New Roman" w:cs="Times New Roman"/>
          <w:sz w:val="28"/>
          <w:szCs w:val="28"/>
        </w:rPr>
        <w:t>предоставляемо</w:t>
      </w:r>
      <w:r w:rsidR="0055706D">
        <w:rPr>
          <w:rFonts w:ascii="Times New Roman" w:hAnsi="Times New Roman" w:cs="Times New Roman"/>
          <w:sz w:val="28"/>
          <w:szCs w:val="28"/>
        </w:rPr>
        <w:t>е</w:t>
      </w:r>
      <w:r w:rsidRPr="001E19D6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="0055706D">
        <w:rPr>
          <w:rFonts w:ascii="Times New Roman" w:hAnsi="Times New Roman" w:cs="Times New Roman"/>
          <w:sz w:val="28"/>
          <w:szCs w:val="28"/>
        </w:rPr>
        <w:t>о</w:t>
      </w:r>
      <w:r w:rsidRPr="001E19D6">
        <w:rPr>
          <w:rFonts w:ascii="Times New Roman" w:hAnsi="Times New Roman" w:cs="Times New Roman"/>
          <w:sz w:val="28"/>
          <w:szCs w:val="28"/>
        </w:rPr>
        <w:t>;</w:t>
      </w:r>
    </w:p>
    <w:p w:rsidR="00247394" w:rsidRPr="001E19D6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669A" w:rsidRPr="001E19D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EA669A" w:rsidRPr="001E19D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E19D6">
        <w:rPr>
          <w:rFonts w:ascii="Times New Roman" w:hAnsi="Times New Roman" w:cs="Times New Roman"/>
          <w:sz w:val="28"/>
          <w:szCs w:val="28"/>
        </w:rPr>
        <w:t xml:space="preserve"> </w:t>
      </w:r>
      <w:r w:rsidR="001862B9">
        <w:rPr>
          <w:rFonts w:ascii="Times New Roman" w:hAnsi="Times New Roman" w:cs="Times New Roman"/>
          <w:sz w:val="28"/>
          <w:szCs w:val="28"/>
        </w:rPr>
        <w:t xml:space="preserve"> </w:t>
      </w:r>
      <w:r w:rsidRPr="001E19D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E19D6">
        <w:rPr>
          <w:rFonts w:ascii="Times New Roman" w:hAnsi="Times New Roman" w:cs="Times New Roman"/>
          <w:sz w:val="28"/>
          <w:szCs w:val="28"/>
        </w:rPr>
        <w:t xml:space="preserve"> сумма поручительства;</w:t>
      </w:r>
    </w:p>
    <w:p w:rsidR="00247394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ab/>
      </w:r>
      <w:r w:rsidRPr="001E19D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A58E6">
        <w:rPr>
          <w:rFonts w:ascii="Times New Roman" w:hAnsi="Times New Roman" w:cs="Times New Roman"/>
          <w:sz w:val="28"/>
          <w:szCs w:val="28"/>
        </w:rPr>
        <w:t xml:space="preserve">   – ставка вознаграждения:</w:t>
      </w:r>
    </w:p>
    <w:p w:rsidR="000A58E6" w:rsidRDefault="000A58E6" w:rsidP="000A58E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  <w:r>
        <w:rPr>
          <w:szCs w:val="28"/>
        </w:rPr>
        <w:t>Ставка</w:t>
      </w:r>
      <w:r w:rsidRPr="001E19D6">
        <w:rPr>
          <w:color w:val="000000"/>
          <w:szCs w:val="28"/>
        </w:rPr>
        <w:t xml:space="preserve"> вознаграждения за предоставление Поручительства  определяется в зависимости от вида </w:t>
      </w:r>
      <w:r w:rsidRPr="007E2DC9">
        <w:rPr>
          <w:color w:val="000000"/>
          <w:szCs w:val="28"/>
        </w:rPr>
        <w:t>деятельности</w:t>
      </w:r>
      <w:r w:rsidR="00D65560" w:rsidRPr="007E2DC9">
        <w:rPr>
          <w:color w:val="000000"/>
          <w:szCs w:val="28"/>
        </w:rPr>
        <w:t xml:space="preserve"> и срока </w:t>
      </w:r>
      <w:r w:rsidR="00360891" w:rsidRPr="007E2DC9">
        <w:rPr>
          <w:szCs w:val="28"/>
        </w:rPr>
        <w:t>договора</w:t>
      </w:r>
      <w:r w:rsidR="001143D4" w:rsidRPr="007E2DC9">
        <w:rPr>
          <w:szCs w:val="28"/>
        </w:rPr>
        <w:t xml:space="preserve"> поручительства</w:t>
      </w:r>
      <w:r w:rsidRPr="007E2DC9">
        <w:rPr>
          <w:color w:val="000000"/>
          <w:szCs w:val="28"/>
        </w:rPr>
        <w:t>:</w:t>
      </w:r>
    </w:p>
    <w:p w:rsidR="00A041A3" w:rsidRPr="001E19D6" w:rsidRDefault="00A041A3" w:rsidP="000A58E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2878"/>
        <w:gridCol w:w="2996"/>
      </w:tblGrid>
      <w:tr w:rsidR="000A58E6" w:rsidRPr="001B6A15" w:rsidTr="00D111B9">
        <w:tc>
          <w:tcPr>
            <w:tcW w:w="3662" w:type="dxa"/>
            <w:vMerge w:val="restart"/>
          </w:tcPr>
          <w:p w:rsidR="000A58E6" w:rsidRPr="001B6A15" w:rsidRDefault="000A58E6" w:rsidP="00EF6585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 xml:space="preserve">Срок </w:t>
            </w:r>
            <w:r w:rsidR="00EF6585" w:rsidRPr="001B6A15">
              <w:rPr>
                <w:color w:val="000000"/>
                <w:szCs w:val="28"/>
              </w:rPr>
              <w:t>за</w:t>
            </w:r>
            <w:r w:rsidR="009545DB" w:rsidRPr="001B6A15">
              <w:rPr>
                <w:color w:val="000000"/>
                <w:szCs w:val="28"/>
              </w:rPr>
              <w:t>прашиваемого поручительства</w:t>
            </w:r>
            <w:r w:rsidRPr="001B6A1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909" w:type="dxa"/>
            <w:gridSpan w:val="2"/>
          </w:tcPr>
          <w:p w:rsidR="000A58E6" w:rsidRPr="001B6A15" w:rsidRDefault="00AB4606" w:rsidP="00AE6368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Ставка</w:t>
            </w:r>
            <w:r w:rsidR="000A58E6" w:rsidRPr="001B6A15">
              <w:rPr>
                <w:color w:val="000000"/>
                <w:szCs w:val="28"/>
              </w:rPr>
              <w:t xml:space="preserve"> вознаграждения, в % годовых</w:t>
            </w:r>
          </w:p>
        </w:tc>
      </w:tr>
      <w:tr w:rsidR="000A58E6" w:rsidRPr="001B6A15" w:rsidTr="00D111B9">
        <w:tc>
          <w:tcPr>
            <w:tcW w:w="3662" w:type="dxa"/>
            <w:vMerge/>
          </w:tcPr>
          <w:p w:rsidR="000A58E6" w:rsidRPr="001B6A15" w:rsidRDefault="000A58E6" w:rsidP="000A58E6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</w:p>
        </w:tc>
        <w:tc>
          <w:tcPr>
            <w:tcW w:w="2895" w:type="dxa"/>
          </w:tcPr>
          <w:p w:rsidR="000A58E6" w:rsidRPr="001B6A15" w:rsidRDefault="000A58E6" w:rsidP="000A58E6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Приоритетные виды деятельности</w:t>
            </w:r>
          </w:p>
        </w:tc>
        <w:tc>
          <w:tcPr>
            <w:tcW w:w="3014" w:type="dxa"/>
          </w:tcPr>
          <w:p w:rsidR="000A58E6" w:rsidRPr="001B6A15" w:rsidRDefault="000A58E6" w:rsidP="000A58E6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Неприоритетные виды деятельности</w:t>
            </w:r>
          </w:p>
        </w:tc>
      </w:tr>
      <w:tr w:rsidR="00D111B9" w:rsidRPr="001B6A15" w:rsidTr="00D111B9">
        <w:tc>
          <w:tcPr>
            <w:tcW w:w="3662" w:type="dxa"/>
          </w:tcPr>
          <w:p w:rsidR="00D111B9" w:rsidRPr="001B6A15" w:rsidRDefault="00D111B9" w:rsidP="00C408AA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 xml:space="preserve">до </w:t>
            </w:r>
            <w:r w:rsidR="00C408AA" w:rsidRPr="001B6A15">
              <w:rPr>
                <w:color w:val="000000"/>
                <w:szCs w:val="28"/>
              </w:rPr>
              <w:t>3</w:t>
            </w:r>
            <w:r w:rsidRPr="001B6A15">
              <w:rPr>
                <w:color w:val="000000"/>
                <w:szCs w:val="28"/>
              </w:rPr>
              <w:t xml:space="preserve"> года (включительно)</w:t>
            </w:r>
          </w:p>
        </w:tc>
        <w:tc>
          <w:tcPr>
            <w:tcW w:w="2895" w:type="dxa"/>
            <w:vAlign w:val="center"/>
          </w:tcPr>
          <w:p w:rsidR="00D111B9" w:rsidRPr="001B6A15" w:rsidRDefault="00D111B9" w:rsidP="0046348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1B6A15">
              <w:rPr>
                <w:color w:val="000000"/>
                <w:szCs w:val="28"/>
              </w:rPr>
              <w:t>1,</w:t>
            </w:r>
            <w:r w:rsidR="0046348A" w:rsidRPr="001B6A15">
              <w:rPr>
                <w:color w:val="000000"/>
                <w:szCs w:val="28"/>
              </w:rPr>
              <w:t>0</w:t>
            </w:r>
            <w:r w:rsidR="00246D9A" w:rsidRPr="001B6A15">
              <w:rPr>
                <w:color w:val="000000"/>
                <w:szCs w:val="28"/>
              </w:rPr>
              <w:t>0</w:t>
            </w:r>
          </w:p>
        </w:tc>
        <w:tc>
          <w:tcPr>
            <w:tcW w:w="3014" w:type="dxa"/>
            <w:vAlign w:val="center"/>
          </w:tcPr>
          <w:p w:rsidR="00D111B9" w:rsidRPr="001B6A15" w:rsidRDefault="00D111B9" w:rsidP="00C408A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1,</w:t>
            </w:r>
            <w:r w:rsidR="0046348A" w:rsidRPr="001B6A15">
              <w:rPr>
                <w:color w:val="000000"/>
                <w:szCs w:val="28"/>
              </w:rPr>
              <w:t>2</w:t>
            </w:r>
            <w:r w:rsidR="00C408AA" w:rsidRPr="001B6A15">
              <w:rPr>
                <w:color w:val="000000"/>
                <w:szCs w:val="28"/>
              </w:rPr>
              <w:t>5</w:t>
            </w:r>
          </w:p>
        </w:tc>
      </w:tr>
      <w:tr w:rsidR="00D111B9" w:rsidRPr="001B6A15" w:rsidTr="00D111B9">
        <w:tc>
          <w:tcPr>
            <w:tcW w:w="3662" w:type="dxa"/>
          </w:tcPr>
          <w:p w:rsidR="00D111B9" w:rsidRPr="001B6A15" w:rsidRDefault="00D111B9" w:rsidP="000A58E6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от 3-х лет до 5-ти лет (включительно)</w:t>
            </w:r>
          </w:p>
        </w:tc>
        <w:tc>
          <w:tcPr>
            <w:tcW w:w="2895" w:type="dxa"/>
            <w:vAlign w:val="center"/>
          </w:tcPr>
          <w:p w:rsidR="00D111B9" w:rsidRPr="001B6A15" w:rsidRDefault="00C408AA" w:rsidP="003709AC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1B6A15">
              <w:rPr>
                <w:color w:val="000000"/>
                <w:szCs w:val="28"/>
              </w:rPr>
              <w:t>0,75</w:t>
            </w:r>
          </w:p>
        </w:tc>
        <w:tc>
          <w:tcPr>
            <w:tcW w:w="3014" w:type="dxa"/>
            <w:vAlign w:val="center"/>
          </w:tcPr>
          <w:p w:rsidR="00D111B9" w:rsidRPr="001B6A15" w:rsidRDefault="00C408AA" w:rsidP="00C408A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1B6A15">
              <w:rPr>
                <w:color w:val="000000"/>
                <w:szCs w:val="28"/>
              </w:rPr>
              <w:t>1</w:t>
            </w:r>
            <w:r w:rsidR="0046348A" w:rsidRPr="001B6A15">
              <w:rPr>
                <w:color w:val="000000"/>
                <w:szCs w:val="28"/>
              </w:rPr>
              <w:t>,</w:t>
            </w:r>
            <w:r w:rsidRPr="001B6A15">
              <w:rPr>
                <w:color w:val="000000"/>
                <w:szCs w:val="28"/>
              </w:rPr>
              <w:t>00</w:t>
            </w:r>
          </w:p>
        </w:tc>
      </w:tr>
      <w:tr w:rsidR="00D111B9" w:rsidRPr="001E19D6" w:rsidTr="00D111B9">
        <w:trPr>
          <w:trHeight w:val="839"/>
        </w:trPr>
        <w:tc>
          <w:tcPr>
            <w:tcW w:w="3662" w:type="dxa"/>
          </w:tcPr>
          <w:p w:rsidR="00D111B9" w:rsidRPr="001B6A15" w:rsidRDefault="00D111B9" w:rsidP="00C803E2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 xml:space="preserve">от 5-ти лет </w:t>
            </w:r>
          </w:p>
        </w:tc>
        <w:tc>
          <w:tcPr>
            <w:tcW w:w="2895" w:type="dxa"/>
            <w:vAlign w:val="center"/>
          </w:tcPr>
          <w:p w:rsidR="00D111B9" w:rsidRPr="001B6A15" w:rsidRDefault="00D111B9" w:rsidP="00C408A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0,</w:t>
            </w:r>
            <w:r w:rsidR="00C408AA" w:rsidRPr="001B6A15">
              <w:rPr>
                <w:color w:val="000000"/>
                <w:szCs w:val="28"/>
              </w:rPr>
              <w:t>50</w:t>
            </w:r>
          </w:p>
        </w:tc>
        <w:tc>
          <w:tcPr>
            <w:tcW w:w="3014" w:type="dxa"/>
            <w:vAlign w:val="center"/>
          </w:tcPr>
          <w:p w:rsidR="00D111B9" w:rsidRPr="001E19D6" w:rsidRDefault="0046348A" w:rsidP="00C408A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0,</w:t>
            </w:r>
            <w:r w:rsidR="00C408AA" w:rsidRPr="001B6A15">
              <w:rPr>
                <w:color w:val="000000"/>
                <w:szCs w:val="28"/>
              </w:rPr>
              <w:t>75</w:t>
            </w:r>
          </w:p>
        </w:tc>
      </w:tr>
    </w:tbl>
    <w:p w:rsidR="00C11827" w:rsidRDefault="00C11827" w:rsidP="000A58E6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826BFB" w:rsidRDefault="00C11827" w:rsidP="000A5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827">
        <w:rPr>
          <w:rFonts w:ascii="Times New Roman" w:hAnsi="Times New Roman" w:cs="Times New Roman"/>
          <w:sz w:val="28"/>
          <w:szCs w:val="28"/>
        </w:rPr>
        <w:t>Ставка</w:t>
      </w:r>
      <w:r w:rsidRPr="00C11827">
        <w:rPr>
          <w:rFonts w:ascii="Times New Roman" w:hAnsi="Times New Roman" w:cs="Times New Roman"/>
          <w:color w:val="000000"/>
          <w:sz w:val="28"/>
          <w:szCs w:val="28"/>
        </w:rPr>
        <w:t xml:space="preserve"> вознаграждения за предоставление Поручительств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 xml:space="preserve"> в обеспечение кредитных договоров, договоров о предоставлении банковских гарантий с участием АО «Федеральная корпорация по развитию малого и среднего предпринимательства</w:t>
      </w:r>
      <w:r w:rsidR="00186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6A0">
        <w:rPr>
          <w:rFonts w:ascii="Times New Roman" w:hAnsi="Times New Roman" w:cs="Times New Roman"/>
          <w:sz w:val="28"/>
          <w:szCs w:val="28"/>
        </w:rPr>
        <w:t>составляет</w:t>
      </w:r>
      <w:r w:rsidR="00184991">
        <w:rPr>
          <w:rFonts w:ascii="Times New Roman" w:hAnsi="Times New Roman" w:cs="Times New Roman"/>
          <w:sz w:val="28"/>
          <w:szCs w:val="28"/>
        </w:rPr>
        <w:t xml:space="preserve"> 0,75% годовых</w:t>
      </w:r>
      <w:r w:rsidR="009236A0">
        <w:rPr>
          <w:rFonts w:ascii="Times New Roman" w:hAnsi="Times New Roman" w:cs="Times New Roman"/>
          <w:sz w:val="28"/>
          <w:szCs w:val="28"/>
        </w:rPr>
        <w:t xml:space="preserve"> вне зависимости от вида деятельности и срока договора поручительства</w:t>
      </w:r>
      <w:r w:rsidR="00184991">
        <w:rPr>
          <w:rFonts w:ascii="Times New Roman" w:hAnsi="Times New Roman" w:cs="Times New Roman"/>
          <w:sz w:val="28"/>
          <w:szCs w:val="28"/>
        </w:rPr>
        <w:t>.</w:t>
      </w:r>
    </w:p>
    <w:p w:rsidR="001966DE" w:rsidRPr="00C11827" w:rsidRDefault="001966DE" w:rsidP="000A5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DE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режима чрезвычайной ситуации ставка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1966DE">
        <w:rPr>
          <w:rFonts w:ascii="Times New Roman" w:hAnsi="Times New Roman" w:cs="Times New Roman"/>
          <w:sz w:val="28"/>
          <w:szCs w:val="28"/>
        </w:rPr>
        <w:t xml:space="preserve">за предоставление поручительства </w:t>
      </w:r>
      <w:r w:rsidR="00DC787C">
        <w:rPr>
          <w:rFonts w:ascii="Times New Roman" w:hAnsi="Times New Roman" w:cs="Times New Roman"/>
          <w:sz w:val="28"/>
          <w:szCs w:val="28"/>
        </w:rPr>
        <w:t>устанавливаться на уровне</w:t>
      </w:r>
      <w:r w:rsidRPr="001966DE">
        <w:rPr>
          <w:rFonts w:ascii="Times New Roman" w:hAnsi="Times New Roman" w:cs="Times New Roman"/>
          <w:sz w:val="28"/>
          <w:szCs w:val="28"/>
        </w:rPr>
        <w:t xml:space="preserve"> 0,5% годовых от суммы предоставляемого поручительства.</w:t>
      </w:r>
    </w:p>
    <w:p w:rsidR="00247394" w:rsidRPr="005C3347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ab/>
        <w:t>С</w:t>
      </w:r>
      <w:r w:rsidRPr="001E19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19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19D6">
        <w:rPr>
          <w:rFonts w:ascii="Times New Roman" w:hAnsi="Times New Roman" w:cs="Times New Roman"/>
          <w:sz w:val="28"/>
          <w:szCs w:val="28"/>
        </w:rPr>
        <w:t xml:space="preserve">срок запрашиваемого поручительства (количество дней действия </w:t>
      </w:r>
      <w:r w:rsidR="004240A7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C3347">
        <w:rPr>
          <w:rFonts w:ascii="Times New Roman" w:hAnsi="Times New Roman" w:cs="Times New Roman"/>
          <w:sz w:val="28"/>
          <w:szCs w:val="28"/>
        </w:rPr>
        <w:t>поручительства</w:t>
      </w:r>
      <w:r w:rsidR="005C3347" w:rsidRPr="005C3347">
        <w:rPr>
          <w:rFonts w:ascii="Times New Roman" w:hAnsi="Times New Roman" w:cs="Times New Roman"/>
          <w:sz w:val="28"/>
          <w:szCs w:val="28"/>
        </w:rPr>
        <w:t xml:space="preserve"> от даты его вступления в силу до даты окончания</w:t>
      </w:r>
      <w:r w:rsidRPr="005C3347">
        <w:rPr>
          <w:rFonts w:ascii="Times New Roman" w:hAnsi="Times New Roman" w:cs="Times New Roman"/>
          <w:sz w:val="28"/>
          <w:szCs w:val="28"/>
        </w:rPr>
        <w:t>).</w:t>
      </w:r>
    </w:p>
    <w:p w:rsidR="006B1054" w:rsidRDefault="006E5F5E" w:rsidP="001E19D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3C5627" w:rsidRPr="001E19D6">
        <w:rPr>
          <w:color w:val="000000"/>
          <w:szCs w:val="28"/>
        </w:rPr>
        <w:t xml:space="preserve">. </w:t>
      </w:r>
      <w:r w:rsidR="006B1054" w:rsidRPr="001E19D6">
        <w:rPr>
          <w:color w:val="000000"/>
          <w:szCs w:val="28"/>
        </w:rPr>
        <w:t>Вознаграждение</w:t>
      </w:r>
      <w:r w:rsidR="00A041A3">
        <w:rPr>
          <w:color w:val="000000"/>
          <w:szCs w:val="28"/>
        </w:rPr>
        <w:t xml:space="preserve"> Фонду </w:t>
      </w:r>
      <w:r w:rsidR="006B1054" w:rsidRPr="001E19D6">
        <w:rPr>
          <w:color w:val="000000"/>
          <w:szCs w:val="28"/>
        </w:rPr>
        <w:t xml:space="preserve">уплачивается </w:t>
      </w:r>
      <w:r w:rsidR="003C5627" w:rsidRPr="001E19D6">
        <w:rPr>
          <w:szCs w:val="28"/>
        </w:rPr>
        <w:t xml:space="preserve">субъектом </w:t>
      </w:r>
      <w:r w:rsidR="00DA4E87" w:rsidRPr="001E19D6">
        <w:rPr>
          <w:szCs w:val="28"/>
        </w:rPr>
        <w:t>предприни</w:t>
      </w:r>
      <w:r w:rsidR="00DA4E87">
        <w:rPr>
          <w:szCs w:val="28"/>
        </w:rPr>
        <w:t>м</w:t>
      </w:r>
      <w:r w:rsidR="00DA4E87" w:rsidRPr="001E19D6">
        <w:rPr>
          <w:szCs w:val="28"/>
        </w:rPr>
        <w:t>ательства</w:t>
      </w:r>
      <w:r w:rsidR="006B1054" w:rsidRPr="001E19D6">
        <w:rPr>
          <w:color w:val="000000"/>
          <w:szCs w:val="28"/>
        </w:rPr>
        <w:t xml:space="preserve"> единовременно до подписания договора поручительства или по графику, установленному Договором поручительства. </w:t>
      </w:r>
    </w:p>
    <w:p w:rsidR="004A70EF" w:rsidRPr="004A70EF" w:rsidRDefault="00E35531" w:rsidP="005620BF">
      <w:pPr>
        <w:pStyle w:val="a4"/>
        <w:spacing w:line="360" w:lineRule="auto"/>
        <w:ind w:firstLine="709"/>
        <w:contextualSpacing/>
        <w:rPr>
          <w:szCs w:val="28"/>
        </w:rPr>
      </w:pPr>
      <w:r>
        <w:rPr>
          <w:color w:val="000000"/>
          <w:szCs w:val="28"/>
        </w:rPr>
        <w:t xml:space="preserve">5. </w:t>
      </w:r>
      <w:r w:rsidR="004A70EF" w:rsidRPr="004A70EF">
        <w:rPr>
          <w:color w:val="000000"/>
          <w:szCs w:val="28"/>
        </w:rPr>
        <w:t xml:space="preserve">При досрочном исполнении субъектом МСП обязательств по договорам, в обеспечение по которым предоставлено поручительство Фонда, вознаграждение Фонда пересчитывается </w:t>
      </w:r>
      <w:r w:rsidR="00464314">
        <w:rPr>
          <w:color w:val="000000"/>
          <w:szCs w:val="28"/>
        </w:rPr>
        <w:t>(по за</w:t>
      </w:r>
      <w:r w:rsidR="005620BF">
        <w:rPr>
          <w:color w:val="000000"/>
          <w:szCs w:val="28"/>
        </w:rPr>
        <w:t>явлению</w:t>
      </w:r>
      <w:r w:rsidR="00464314">
        <w:rPr>
          <w:color w:val="000000"/>
          <w:szCs w:val="28"/>
        </w:rPr>
        <w:t xml:space="preserve"> субъекта МСП) </w:t>
      </w:r>
      <w:r w:rsidR="004A70EF" w:rsidRPr="004A70EF">
        <w:rPr>
          <w:color w:val="000000"/>
          <w:szCs w:val="28"/>
        </w:rPr>
        <w:t>в следующем порядке: в случае если до окончания договора осталось   более шести месяцев, вознаграждение Фонда пересчитывается и уменьшается за количество дней от даты досрочного погашения до даты погашения кредита по договору и подлежит возврату на счет Заемщика. При этом возврату подлежит не более 75% оплаченного вознаграждения.</w:t>
      </w:r>
    </w:p>
    <w:p w:rsidR="00281F9F" w:rsidRDefault="00E35531" w:rsidP="00E35531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6. В случае если субъект МСП оплатил вознаграждение </w:t>
      </w:r>
      <w:proofErr w:type="gramStart"/>
      <w:r>
        <w:rPr>
          <w:color w:val="000000"/>
          <w:szCs w:val="28"/>
        </w:rPr>
        <w:t>Фонду  и</w:t>
      </w:r>
      <w:proofErr w:type="gramEnd"/>
      <w:r>
        <w:rPr>
          <w:color w:val="000000"/>
          <w:szCs w:val="28"/>
        </w:rPr>
        <w:t xml:space="preserve"> отказался от получения кредита, банковской гарантии   после подписания договоров всеми сторонами сделки, 90% от суммы оплаченного вознаграждения подлежит возврату</w:t>
      </w:r>
      <w:r w:rsidR="005620BF">
        <w:rPr>
          <w:color w:val="000000"/>
          <w:szCs w:val="28"/>
        </w:rPr>
        <w:t xml:space="preserve"> </w:t>
      </w:r>
      <w:bookmarkStart w:id="0" w:name="_GoBack"/>
      <w:bookmarkEnd w:id="0"/>
      <w:r w:rsidR="005620BF" w:rsidRPr="005620BF">
        <w:rPr>
          <w:color w:val="000000"/>
          <w:szCs w:val="28"/>
        </w:rPr>
        <w:t>(по заявлению субъекта МСП)</w:t>
      </w:r>
      <w:r w:rsidRPr="005620BF">
        <w:rPr>
          <w:color w:val="000000"/>
          <w:szCs w:val="28"/>
        </w:rPr>
        <w:t>.</w:t>
      </w:r>
    </w:p>
    <w:p w:rsidR="00153F93" w:rsidRPr="00526194" w:rsidRDefault="00153F93" w:rsidP="00E35531">
      <w:pPr>
        <w:pStyle w:val="a4"/>
        <w:spacing w:line="360" w:lineRule="auto"/>
        <w:ind w:firstLine="709"/>
        <w:contextualSpacing/>
        <w:rPr>
          <w:szCs w:val="28"/>
        </w:rPr>
      </w:pPr>
      <w:r>
        <w:rPr>
          <w:color w:val="000000"/>
          <w:szCs w:val="28"/>
        </w:rPr>
        <w:t>7</w:t>
      </w:r>
      <w:r w:rsidRPr="00191881">
        <w:rPr>
          <w:color w:val="000000"/>
          <w:szCs w:val="28"/>
        </w:rPr>
        <w:t xml:space="preserve">. </w:t>
      </w:r>
      <w:r w:rsidR="001155FE" w:rsidRPr="00191881">
        <w:rPr>
          <w:color w:val="000000"/>
          <w:szCs w:val="28"/>
        </w:rPr>
        <w:t>В случае предоставления поручительств</w:t>
      </w:r>
      <w:r w:rsidR="005A0031" w:rsidRPr="00191881">
        <w:rPr>
          <w:color w:val="000000"/>
          <w:szCs w:val="28"/>
        </w:rPr>
        <w:t>а</w:t>
      </w:r>
      <w:r w:rsidR="00306854" w:rsidRPr="00191881">
        <w:rPr>
          <w:color w:val="000000"/>
          <w:szCs w:val="28"/>
        </w:rPr>
        <w:t xml:space="preserve"> </w:t>
      </w:r>
      <w:r w:rsidR="001155FE" w:rsidRPr="00191881">
        <w:rPr>
          <w:color w:val="000000"/>
          <w:szCs w:val="28"/>
        </w:rPr>
        <w:t>в обеспечение кредитн</w:t>
      </w:r>
      <w:r w:rsidR="00306854" w:rsidRPr="00191881">
        <w:rPr>
          <w:color w:val="000000"/>
          <w:szCs w:val="28"/>
        </w:rPr>
        <w:t xml:space="preserve">ого </w:t>
      </w:r>
      <w:r w:rsidR="001155FE" w:rsidRPr="00191881">
        <w:rPr>
          <w:color w:val="000000"/>
          <w:szCs w:val="28"/>
        </w:rPr>
        <w:t>договор</w:t>
      </w:r>
      <w:r w:rsidR="00306854" w:rsidRPr="00191881">
        <w:rPr>
          <w:color w:val="000000"/>
          <w:szCs w:val="28"/>
        </w:rPr>
        <w:t>а</w:t>
      </w:r>
      <w:r w:rsidR="001155FE" w:rsidRPr="00191881">
        <w:rPr>
          <w:color w:val="000000"/>
          <w:szCs w:val="28"/>
        </w:rPr>
        <w:t>, выдаваем</w:t>
      </w:r>
      <w:r w:rsidR="00306854" w:rsidRPr="00191881">
        <w:rPr>
          <w:color w:val="000000"/>
          <w:szCs w:val="28"/>
        </w:rPr>
        <w:t>ого</w:t>
      </w:r>
      <w:r w:rsidR="001155FE" w:rsidRPr="00191881">
        <w:rPr>
          <w:color w:val="000000"/>
          <w:szCs w:val="28"/>
        </w:rPr>
        <w:t xml:space="preserve"> на рефинансирование действующ</w:t>
      </w:r>
      <w:r w:rsidR="00306854" w:rsidRPr="00191881">
        <w:rPr>
          <w:color w:val="000000"/>
          <w:szCs w:val="28"/>
        </w:rPr>
        <w:t>его</w:t>
      </w:r>
      <w:r w:rsidR="001155FE" w:rsidRPr="00191881">
        <w:rPr>
          <w:color w:val="000000"/>
          <w:szCs w:val="28"/>
        </w:rPr>
        <w:t xml:space="preserve"> </w:t>
      </w:r>
      <w:r w:rsidR="00F655CB" w:rsidRPr="00191881">
        <w:rPr>
          <w:color w:val="000000"/>
          <w:szCs w:val="28"/>
        </w:rPr>
        <w:t>кредитн</w:t>
      </w:r>
      <w:r w:rsidR="00306854" w:rsidRPr="00191881">
        <w:rPr>
          <w:color w:val="000000"/>
          <w:szCs w:val="28"/>
        </w:rPr>
        <w:t>ого</w:t>
      </w:r>
      <w:r w:rsidR="00F655CB" w:rsidRPr="00191881">
        <w:rPr>
          <w:color w:val="000000"/>
          <w:szCs w:val="28"/>
        </w:rPr>
        <w:t xml:space="preserve"> </w:t>
      </w:r>
      <w:r w:rsidR="001155FE" w:rsidRPr="00191881">
        <w:rPr>
          <w:color w:val="000000"/>
          <w:szCs w:val="28"/>
        </w:rPr>
        <w:t>договор</w:t>
      </w:r>
      <w:r w:rsidR="00306854" w:rsidRPr="00191881">
        <w:rPr>
          <w:color w:val="000000"/>
          <w:szCs w:val="28"/>
        </w:rPr>
        <w:t>а</w:t>
      </w:r>
      <w:r w:rsidR="001155FE" w:rsidRPr="00191881">
        <w:rPr>
          <w:color w:val="000000"/>
          <w:szCs w:val="28"/>
        </w:rPr>
        <w:t>, выданн</w:t>
      </w:r>
      <w:r w:rsidR="00306854" w:rsidRPr="00191881">
        <w:rPr>
          <w:color w:val="000000"/>
          <w:szCs w:val="28"/>
        </w:rPr>
        <w:t>ого</w:t>
      </w:r>
      <w:r w:rsidR="001155FE" w:rsidRPr="00191881">
        <w:rPr>
          <w:color w:val="000000"/>
          <w:szCs w:val="28"/>
        </w:rPr>
        <w:t xml:space="preserve"> под поручительство Фонда</w:t>
      </w:r>
      <w:r w:rsidR="00F655CB" w:rsidRPr="00191881">
        <w:rPr>
          <w:color w:val="000000"/>
          <w:szCs w:val="28"/>
        </w:rPr>
        <w:t xml:space="preserve">, вознаграждение рассчитывается </w:t>
      </w:r>
      <w:r w:rsidR="007F7D45" w:rsidRPr="00191881">
        <w:rPr>
          <w:color w:val="000000"/>
          <w:szCs w:val="28"/>
        </w:rPr>
        <w:t>как разница между расчетной ве</w:t>
      </w:r>
      <w:r w:rsidR="005A0031" w:rsidRPr="00191881">
        <w:rPr>
          <w:color w:val="000000"/>
          <w:szCs w:val="28"/>
        </w:rPr>
        <w:t>личиной вознаграждения по новому поручительству и уплаченным ранее вознаграждением по рефинансируемому кредиту</w:t>
      </w:r>
      <w:r w:rsidR="005028A7">
        <w:rPr>
          <w:color w:val="000000"/>
          <w:szCs w:val="28"/>
        </w:rPr>
        <w:t xml:space="preserve">, </w:t>
      </w:r>
      <w:r w:rsidR="005028A7" w:rsidRPr="00526194">
        <w:rPr>
          <w:szCs w:val="28"/>
        </w:rPr>
        <w:t>рассчитанн</w:t>
      </w:r>
      <w:r w:rsidR="000015DE" w:rsidRPr="00526194">
        <w:rPr>
          <w:szCs w:val="28"/>
        </w:rPr>
        <w:t>ым</w:t>
      </w:r>
      <w:r w:rsidR="006B5CF9" w:rsidRPr="00526194">
        <w:rPr>
          <w:szCs w:val="28"/>
        </w:rPr>
        <w:t xml:space="preserve"> на остаток срока действия поручительства</w:t>
      </w:r>
      <w:r w:rsidR="00306854" w:rsidRPr="00526194">
        <w:rPr>
          <w:szCs w:val="28"/>
        </w:rPr>
        <w:t xml:space="preserve">, но не менее </w:t>
      </w:r>
      <w:r w:rsidR="00F961BA" w:rsidRPr="00526194">
        <w:rPr>
          <w:szCs w:val="28"/>
        </w:rPr>
        <w:t>3</w:t>
      </w:r>
      <w:r w:rsidR="00073E9B" w:rsidRPr="00526194">
        <w:rPr>
          <w:szCs w:val="28"/>
        </w:rPr>
        <w:t>0 000 рублей</w:t>
      </w:r>
      <w:r w:rsidR="005A0031" w:rsidRPr="00526194">
        <w:rPr>
          <w:szCs w:val="28"/>
        </w:rPr>
        <w:t>.</w:t>
      </w:r>
    </w:p>
    <w:p w:rsidR="007C4CC3" w:rsidRDefault="007C4CC3" w:rsidP="001E19D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</w:p>
    <w:p w:rsidR="00DC787C" w:rsidRDefault="00DC787C" w:rsidP="001E19D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</w:p>
    <w:p w:rsidR="00DC787C" w:rsidRPr="001E19D6" w:rsidRDefault="00DC787C" w:rsidP="001E19D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</w:p>
    <w:p w:rsidR="00B600EE" w:rsidRPr="00CF7646" w:rsidRDefault="007C4CC3" w:rsidP="001E19D6">
      <w:pPr>
        <w:pStyle w:val="a4"/>
        <w:spacing w:line="360" w:lineRule="auto"/>
        <w:contextualSpacing/>
        <w:jc w:val="center"/>
        <w:rPr>
          <w:szCs w:val="28"/>
        </w:rPr>
      </w:pPr>
      <w:r w:rsidRPr="001E19D6">
        <w:rPr>
          <w:color w:val="000000"/>
          <w:szCs w:val="28"/>
        </w:rPr>
        <w:t>_________</w:t>
      </w:r>
      <w:r>
        <w:rPr>
          <w:color w:val="000000"/>
          <w:szCs w:val="24"/>
        </w:rPr>
        <w:t>_________</w:t>
      </w:r>
    </w:p>
    <w:sectPr w:rsidR="00B600EE" w:rsidRPr="00CF7646" w:rsidSect="000D6070">
      <w:headerReference w:type="default" r:id="rId10"/>
      <w:pgSz w:w="11906" w:h="16838"/>
      <w:pgMar w:top="964" w:right="851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01" w:rsidRDefault="005F2101" w:rsidP="005859EE">
      <w:pPr>
        <w:spacing w:after="0" w:line="240" w:lineRule="auto"/>
      </w:pPr>
      <w:r>
        <w:separator/>
      </w:r>
    </w:p>
  </w:endnote>
  <w:endnote w:type="continuationSeparator" w:id="0">
    <w:p w:rsidR="005F2101" w:rsidRDefault="005F2101" w:rsidP="0058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01" w:rsidRDefault="005F2101" w:rsidP="005859EE">
      <w:pPr>
        <w:spacing w:after="0" w:line="240" w:lineRule="auto"/>
      </w:pPr>
      <w:r>
        <w:separator/>
      </w:r>
    </w:p>
  </w:footnote>
  <w:footnote w:type="continuationSeparator" w:id="0">
    <w:p w:rsidR="005F2101" w:rsidRDefault="005F2101" w:rsidP="0058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5523"/>
      <w:docPartObj>
        <w:docPartGallery w:val="Page Numbers (Top of Page)"/>
        <w:docPartUnique/>
      </w:docPartObj>
    </w:sdtPr>
    <w:sdtEndPr/>
    <w:sdtContent>
      <w:p w:rsidR="005F2101" w:rsidRDefault="002748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0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2101" w:rsidRDefault="005F21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B3ACC"/>
    <w:multiLevelType w:val="hybridMultilevel"/>
    <w:tmpl w:val="B66861E8"/>
    <w:lvl w:ilvl="0" w:tplc="5D2A6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682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0F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882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6A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20FE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28E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67F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60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19"/>
    <w:rsid w:val="000015DE"/>
    <w:rsid w:val="0000792D"/>
    <w:rsid w:val="00034A3F"/>
    <w:rsid w:val="00034F93"/>
    <w:rsid w:val="00040FD6"/>
    <w:rsid w:val="00057CF6"/>
    <w:rsid w:val="00073E9B"/>
    <w:rsid w:val="00082CF1"/>
    <w:rsid w:val="000A45D8"/>
    <w:rsid w:val="000A58E6"/>
    <w:rsid w:val="000D6070"/>
    <w:rsid w:val="001039E6"/>
    <w:rsid w:val="001143D4"/>
    <w:rsid w:val="001155FE"/>
    <w:rsid w:val="00127C58"/>
    <w:rsid w:val="00145FB0"/>
    <w:rsid w:val="00153F93"/>
    <w:rsid w:val="00184991"/>
    <w:rsid w:val="001862B9"/>
    <w:rsid w:val="00191881"/>
    <w:rsid w:val="001966DE"/>
    <w:rsid w:val="001B0204"/>
    <w:rsid w:val="001B0D44"/>
    <w:rsid w:val="001B6A15"/>
    <w:rsid w:val="001E19D6"/>
    <w:rsid w:val="001F6CBF"/>
    <w:rsid w:val="00246D9A"/>
    <w:rsid w:val="00247394"/>
    <w:rsid w:val="00274857"/>
    <w:rsid w:val="00281F9F"/>
    <w:rsid w:val="002C24A1"/>
    <w:rsid w:val="002D56C8"/>
    <w:rsid w:val="002D79A1"/>
    <w:rsid w:val="00300119"/>
    <w:rsid w:val="00306854"/>
    <w:rsid w:val="00336E62"/>
    <w:rsid w:val="00337C0A"/>
    <w:rsid w:val="00360891"/>
    <w:rsid w:val="00366FD0"/>
    <w:rsid w:val="003709AC"/>
    <w:rsid w:val="003802EE"/>
    <w:rsid w:val="00384773"/>
    <w:rsid w:val="003A106E"/>
    <w:rsid w:val="003B0F57"/>
    <w:rsid w:val="003C032F"/>
    <w:rsid w:val="003C5627"/>
    <w:rsid w:val="003C701C"/>
    <w:rsid w:val="003E144D"/>
    <w:rsid w:val="004240A7"/>
    <w:rsid w:val="004605F9"/>
    <w:rsid w:val="0046348A"/>
    <w:rsid w:val="00464314"/>
    <w:rsid w:val="00491ECC"/>
    <w:rsid w:val="004A70EF"/>
    <w:rsid w:val="004C37FB"/>
    <w:rsid w:val="005028A7"/>
    <w:rsid w:val="00502EFC"/>
    <w:rsid w:val="00510B30"/>
    <w:rsid w:val="0051726F"/>
    <w:rsid w:val="00523D59"/>
    <w:rsid w:val="00526194"/>
    <w:rsid w:val="0055674A"/>
    <w:rsid w:val="0055706D"/>
    <w:rsid w:val="005620BF"/>
    <w:rsid w:val="0056703E"/>
    <w:rsid w:val="00581A58"/>
    <w:rsid w:val="005859EE"/>
    <w:rsid w:val="005A0031"/>
    <w:rsid w:val="005B4D35"/>
    <w:rsid w:val="005C143F"/>
    <w:rsid w:val="005C3347"/>
    <w:rsid w:val="005F2101"/>
    <w:rsid w:val="00610881"/>
    <w:rsid w:val="00612B1D"/>
    <w:rsid w:val="00616B88"/>
    <w:rsid w:val="00625328"/>
    <w:rsid w:val="0063107A"/>
    <w:rsid w:val="00643412"/>
    <w:rsid w:val="006510B4"/>
    <w:rsid w:val="0066329E"/>
    <w:rsid w:val="0066569C"/>
    <w:rsid w:val="00695B2C"/>
    <w:rsid w:val="006A5C6C"/>
    <w:rsid w:val="006A65F0"/>
    <w:rsid w:val="006B1054"/>
    <w:rsid w:val="006B5CF9"/>
    <w:rsid w:val="006B6AB6"/>
    <w:rsid w:val="006B7B44"/>
    <w:rsid w:val="006C380F"/>
    <w:rsid w:val="006D2054"/>
    <w:rsid w:val="006D6F23"/>
    <w:rsid w:val="006E5F5E"/>
    <w:rsid w:val="00711F2A"/>
    <w:rsid w:val="0073335E"/>
    <w:rsid w:val="0075612B"/>
    <w:rsid w:val="007649D8"/>
    <w:rsid w:val="007747D3"/>
    <w:rsid w:val="00792899"/>
    <w:rsid w:val="0079534A"/>
    <w:rsid w:val="00796B08"/>
    <w:rsid w:val="007C4CC3"/>
    <w:rsid w:val="007E2DC9"/>
    <w:rsid w:val="007F4BF8"/>
    <w:rsid w:val="007F7D45"/>
    <w:rsid w:val="00826BFB"/>
    <w:rsid w:val="0083116C"/>
    <w:rsid w:val="008B3B1B"/>
    <w:rsid w:val="008C1780"/>
    <w:rsid w:val="008D066D"/>
    <w:rsid w:val="008D7CFE"/>
    <w:rsid w:val="009236A0"/>
    <w:rsid w:val="00924C3B"/>
    <w:rsid w:val="00926CD5"/>
    <w:rsid w:val="009545DB"/>
    <w:rsid w:val="00982F0D"/>
    <w:rsid w:val="00992871"/>
    <w:rsid w:val="009A434A"/>
    <w:rsid w:val="009A7966"/>
    <w:rsid w:val="009F6274"/>
    <w:rsid w:val="00A041A3"/>
    <w:rsid w:val="00A16810"/>
    <w:rsid w:val="00A2437F"/>
    <w:rsid w:val="00A76540"/>
    <w:rsid w:val="00A82EE2"/>
    <w:rsid w:val="00AB0CE5"/>
    <w:rsid w:val="00AB4606"/>
    <w:rsid w:val="00AB6E4E"/>
    <w:rsid w:val="00AE6368"/>
    <w:rsid w:val="00B0212D"/>
    <w:rsid w:val="00B03F2D"/>
    <w:rsid w:val="00B46A38"/>
    <w:rsid w:val="00B531E6"/>
    <w:rsid w:val="00B54931"/>
    <w:rsid w:val="00B600EE"/>
    <w:rsid w:val="00B80DC1"/>
    <w:rsid w:val="00BE12F6"/>
    <w:rsid w:val="00C11827"/>
    <w:rsid w:val="00C408AA"/>
    <w:rsid w:val="00C803E2"/>
    <w:rsid w:val="00C848E8"/>
    <w:rsid w:val="00C8778B"/>
    <w:rsid w:val="00C96C66"/>
    <w:rsid w:val="00CE2CF7"/>
    <w:rsid w:val="00CF7646"/>
    <w:rsid w:val="00D111B9"/>
    <w:rsid w:val="00D1623A"/>
    <w:rsid w:val="00D2072A"/>
    <w:rsid w:val="00D23D40"/>
    <w:rsid w:val="00D25D63"/>
    <w:rsid w:val="00D539CD"/>
    <w:rsid w:val="00D6042D"/>
    <w:rsid w:val="00D64532"/>
    <w:rsid w:val="00D65560"/>
    <w:rsid w:val="00DA4E87"/>
    <w:rsid w:val="00DB4A51"/>
    <w:rsid w:val="00DC4B7E"/>
    <w:rsid w:val="00DC787C"/>
    <w:rsid w:val="00E26A04"/>
    <w:rsid w:val="00E35531"/>
    <w:rsid w:val="00E549A7"/>
    <w:rsid w:val="00E6535F"/>
    <w:rsid w:val="00E72E45"/>
    <w:rsid w:val="00EA669A"/>
    <w:rsid w:val="00EB58F0"/>
    <w:rsid w:val="00EC6637"/>
    <w:rsid w:val="00EF6585"/>
    <w:rsid w:val="00F179D1"/>
    <w:rsid w:val="00F21076"/>
    <w:rsid w:val="00F30945"/>
    <w:rsid w:val="00F373F6"/>
    <w:rsid w:val="00F45608"/>
    <w:rsid w:val="00F655CB"/>
    <w:rsid w:val="00F85F7F"/>
    <w:rsid w:val="00F961BA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87757E"/>
  <w15:docId w15:val="{DFEC69A5-E4EA-4CB6-AC96-3AC7175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1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B1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84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9EE"/>
  </w:style>
  <w:style w:type="paragraph" w:styleId="a8">
    <w:name w:val="footer"/>
    <w:basedOn w:val="a"/>
    <w:link w:val="a9"/>
    <w:uiPriority w:val="99"/>
    <w:semiHidden/>
    <w:unhideWhenUsed/>
    <w:rsid w:val="0058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9EE"/>
  </w:style>
  <w:style w:type="paragraph" w:customStyle="1" w:styleId="ConsNonformat">
    <w:name w:val="ConsNonformat"/>
    <w:rsid w:val="006E5F5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a">
    <w:name w:val="annotation reference"/>
    <w:basedOn w:val="a0"/>
    <w:uiPriority w:val="99"/>
    <w:semiHidden/>
    <w:unhideWhenUsed/>
    <w:rsid w:val="00EC66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66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66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66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663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C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666C5-CA90-4BE6-B88F-F86403C0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Рензяева Ирина Львовна</dc:creator>
  <cp:lastModifiedBy>Черняго Людмила Ярославовна</cp:lastModifiedBy>
  <cp:revision>7</cp:revision>
  <cp:lastPrinted>2020-07-21T03:53:00Z</cp:lastPrinted>
  <dcterms:created xsi:type="dcterms:W3CDTF">2020-07-14T04:53:00Z</dcterms:created>
  <dcterms:modified xsi:type="dcterms:W3CDTF">2020-09-10T05:20:00Z</dcterms:modified>
</cp:coreProperties>
</file>