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48"/>
        <w:gridCol w:w="1007"/>
        <w:gridCol w:w="2549"/>
        <w:gridCol w:w="1007"/>
        <w:gridCol w:w="2549"/>
        <w:gridCol w:w="2628"/>
        <w:gridCol w:w="2165"/>
      </w:tblGrid>
      <w:tr w:rsidR="00553C94" w:rsidRPr="00553C94" w14:paraId="7624093B" w14:textId="77777777" w:rsidTr="00553C94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71316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01.04.2020</w:t>
            </w:r>
          </w:p>
        </w:tc>
      </w:tr>
      <w:tr w:rsidR="00553C94" w:rsidRPr="00553C94" w14:paraId="5FCC005E" w14:textId="77777777" w:rsidTr="00553C94">
        <w:trPr>
          <w:trHeight w:val="510"/>
        </w:trPr>
        <w:tc>
          <w:tcPr>
            <w:tcW w:w="11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1F42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0683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99C5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1 кв. 2019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0EDAA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01.04.2020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5717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01.04.2020г.</w:t>
            </w:r>
          </w:p>
        </w:tc>
      </w:tr>
      <w:tr w:rsidR="00553C94" w:rsidRPr="00553C94" w14:paraId="6BB8A3F0" w14:textId="77777777" w:rsidTr="00553C94">
        <w:trPr>
          <w:trHeight w:val="510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370F75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D844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7D99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828B4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5E3A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1B2EE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48D3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553C94" w:rsidRPr="00553C94" w14:paraId="665D9E91" w14:textId="77777777" w:rsidTr="00553C94">
        <w:trPr>
          <w:trHeight w:val="315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760D80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9CC6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3763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1 153 969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BA8A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176D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88 350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47B87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321 536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3B619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472 880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553C94" w:rsidRPr="00553C94" w14:paraId="2906D706" w14:textId="77777777" w:rsidTr="00553C94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C5C1F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01.04.2020</w:t>
            </w:r>
          </w:p>
        </w:tc>
      </w:tr>
      <w:tr w:rsidR="00553C94" w:rsidRPr="00553C94" w14:paraId="0CA544EC" w14:textId="77777777" w:rsidTr="00553C94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3B8C8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7B98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2CC5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E08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A927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464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7525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DF4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8108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518CC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53C94" w:rsidRPr="00553C94" w14:paraId="1E3261E3" w14:textId="77777777" w:rsidTr="00553C94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BA0C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2D8F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A090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9772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AFCD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3EEF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5381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5F4C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9B83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AD35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A212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</w:tr>
      <w:tr w:rsidR="00553C94" w:rsidRPr="00553C94" w14:paraId="1A4E5F06" w14:textId="77777777" w:rsidTr="00553C94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1F0AC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ABA98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3753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160 726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70C1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254 544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4A7F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91 883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AE53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167 129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64DD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93 763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73C4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110 455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4E2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130 530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C229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144 939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737E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1 153 969</w:t>
            </w:r>
          </w:p>
        </w:tc>
      </w:tr>
      <w:tr w:rsidR="00553C94" w:rsidRPr="00553C94" w14:paraId="2B287E54" w14:textId="77777777" w:rsidTr="00553C94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A03023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1 </w:t>
            </w:r>
            <w:proofErr w:type="spellStart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9494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DC77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8DE1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E9F9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CB40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2F44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1574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BD23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B1D1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916A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553C94" w:rsidRPr="00553C94" w14:paraId="14E9C5B9" w14:textId="77777777" w:rsidTr="00553C94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8328DE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3AA03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F501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FEE3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F493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8863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27C4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4FF5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6E53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5DF6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9137" w14:textId="77777777" w:rsidR="00553C94" w:rsidRPr="00553C94" w:rsidRDefault="00553C94" w:rsidP="0055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88 350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35CAE20E" w:rsidR="00474EEC" w:rsidRDefault="00553C94">
      <w:r>
        <w:rPr>
          <w:noProof/>
          <w:lang w:eastAsia="ru-RU"/>
        </w:rPr>
        <w:lastRenderedPageBreak/>
        <w:drawing>
          <wp:inline distT="0" distB="0" distL="0" distR="0" wp14:anchorId="434F0548" wp14:editId="4820A19A">
            <wp:extent cx="8267140" cy="4504765"/>
            <wp:effectExtent l="0" t="0" r="635" b="1016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77777777" w:rsidR="00613977" w:rsidRDefault="00613977"/>
    <w:p w14:paraId="16356CAA" w14:textId="77777777" w:rsidR="0073685D" w:rsidRDefault="0073685D"/>
    <w:tbl>
      <w:tblPr>
        <w:tblW w:w="5000" w:type="pct"/>
        <w:tblLook w:val="04A0" w:firstRow="1" w:lastRow="0" w:firstColumn="1" w:lastColumn="0" w:noHBand="0" w:noVBand="1"/>
      </w:tblPr>
      <w:tblGrid>
        <w:gridCol w:w="5807"/>
        <w:gridCol w:w="811"/>
        <w:gridCol w:w="1803"/>
        <w:gridCol w:w="811"/>
        <w:gridCol w:w="1816"/>
        <w:gridCol w:w="811"/>
        <w:gridCol w:w="1186"/>
        <w:gridCol w:w="2308"/>
      </w:tblGrid>
      <w:tr w:rsidR="00553C94" w:rsidRPr="00553C94" w14:paraId="0D3BC259" w14:textId="77777777" w:rsidTr="00553C94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CC2D8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01.04.2019</w:t>
            </w:r>
          </w:p>
        </w:tc>
      </w:tr>
      <w:tr w:rsidR="00553C94" w:rsidRPr="00553C94" w14:paraId="71EB4303" w14:textId="77777777" w:rsidTr="00553C94">
        <w:trPr>
          <w:trHeight w:val="1500"/>
        </w:trPr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76B2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6482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A89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1 </w:t>
            </w:r>
            <w:proofErr w:type="spellStart"/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 г.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2B328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01.04.2020г.</w:t>
            </w: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FFA1F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01.01.2020г.</w:t>
            </w:r>
          </w:p>
        </w:tc>
      </w:tr>
      <w:tr w:rsidR="00553C94" w:rsidRPr="00553C94" w14:paraId="607FA5D7" w14:textId="77777777" w:rsidTr="00553C94">
        <w:trPr>
          <w:trHeight w:val="765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BC6E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A8FF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FABC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A555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A012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A57D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62CE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17419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553C94" w:rsidRPr="00553C94" w14:paraId="5B5BB17B" w14:textId="77777777" w:rsidTr="00553C94">
        <w:trPr>
          <w:trHeight w:val="300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233E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B7D9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CDC2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1 336 466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61B9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C4E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57 791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0BB9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B7474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18869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F3B1D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308788</w:t>
            </w:r>
          </w:p>
        </w:tc>
      </w:tr>
      <w:tr w:rsidR="00553C94" w:rsidRPr="00553C94" w14:paraId="52E177A7" w14:textId="77777777" w:rsidTr="00553C94">
        <w:trPr>
          <w:trHeight w:val="555"/>
        </w:trPr>
        <w:tc>
          <w:tcPr>
            <w:tcW w:w="19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B5BD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D0FBE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BE11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4 722 318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58E69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0BEB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1 737 962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6EB92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82409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52159</w:t>
            </w: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B1CEC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77777777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1201"/>
        <w:gridCol w:w="1265"/>
        <w:gridCol w:w="1237"/>
        <w:gridCol w:w="1167"/>
        <w:gridCol w:w="1637"/>
        <w:gridCol w:w="1231"/>
        <w:gridCol w:w="1824"/>
        <w:gridCol w:w="1750"/>
        <w:gridCol w:w="1081"/>
        <w:gridCol w:w="1376"/>
      </w:tblGrid>
      <w:tr w:rsidR="00553C94" w:rsidRPr="00553C94" w14:paraId="3FE4D191" w14:textId="77777777" w:rsidTr="00553C94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DF320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01.04.2020</w:t>
            </w:r>
          </w:p>
        </w:tc>
      </w:tr>
      <w:tr w:rsidR="00553C94" w:rsidRPr="00553C94" w14:paraId="07A9ECDB" w14:textId="77777777" w:rsidTr="00553C94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7155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9290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5922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3762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6FC4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586A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CCC6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A1EB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93FC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D555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53C94" w:rsidRPr="00553C94" w14:paraId="3C49E3A0" w14:textId="77777777" w:rsidTr="00553C94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05245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EA32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64CB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976A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84EA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E2D2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55A6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A675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B895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236A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79F2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</w:tr>
      <w:tr w:rsidR="00553C94" w:rsidRPr="00553C94" w14:paraId="544D748A" w14:textId="77777777" w:rsidTr="00553C94">
        <w:trPr>
          <w:trHeight w:val="84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E3921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2962F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51D4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1A2B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546 140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A987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8BF0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659C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C8F8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34 171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ADE1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278 554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7E23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207 311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3BFAF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1 336 466</w:t>
            </w:r>
          </w:p>
        </w:tc>
      </w:tr>
      <w:tr w:rsidR="00553C94" w:rsidRPr="00553C94" w14:paraId="55F98934" w14:textId="77777777" w:rsidTr="00553C94">
        <w:trPr>
          <w:trHeight w:val="73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B56A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1 </w:t>
            </w:r>
            <w:proofErr w:type="spellStart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870D5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869A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9902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47B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F4BC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B707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3C24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1E8C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C93C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DD9D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53C94" w:rsidRPr="00553C94" w14:paraId="7696B82C" w14:textId="77777777" w:rsidTr="00553C94">
        <w:trPr>
          <w:trHeight w:val="315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1806E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8F56B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F491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51B1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C63F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3BA7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2432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8AA6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DF23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43F1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742B4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57 791</w:t>
            </w:r>
          </w:p>
        </w:tc>
      </w:tr>
    </w:tbl>
    <w:p w14:paraId="414EF3B8" w14:textId="77777777" w:rsidR="004A18D5" w:rsidRDefault="004A18D5"/>
    <w:tbl>
      <w:tblPr>
        <w:tblW w:w="5000" w:type="pct"/>
        <w:tblLook w:val="04A0" w:firstRow="1" w:lastRow="0" w:firstColumn="1" w:lastColumn="0" w:noHBand="0" w:noVBand="1"/>
      </w:tblPr>
      <w:tblGrid>
        <w:gridCol w:w="1398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82"/>
      </w:tblGrid>
      <w:tr w:rsidR="00553C94" w:rsidRPr="00553C94" w14:paraId="4309AF89" w14:textId="77777777" w:rsidTr="00553C94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B77A5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01.04.2020, в </w:t>
            </w:r>
            <w:proofErr w:type="spellStart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53C94" w:rsidRPr="00553C94" w14:paraId="44B71380" w14:textId="77777777" w:rsidTr="00553C94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FF641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642 519,51</w:t>
            </w:r>
          </w:p>
        </w:tc>
      </w:tr>
      <w:tr w:rsidR="00553C94" w:rsidRPr="00553C94" w14:paraId="4EB90B43" w14:textId="77777777" w:rsidTr="00553C94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0F4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C71B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482E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B973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EC1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A867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5CA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0ACA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AA24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2136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14D" w14:textId="77777777" w:rsidR="00553C94" w:rsidRPr="00553C94" w:rsidRDefault="00553C94" w:rsidP="0055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C94" w:rsidRPr="00553C94" w14:paraId="791B3396" w14:textId="77777777" w:rsidTr="00553C94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F1DF95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01.04.2020, в </w:t>
            </w:r>
            <w:proofErr w:type="spellStart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53C94" w:rsidRPr="00553C94" w14:paraId="73FD91D6" w14:textId="77777777" w:rsidTr="00553C94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97073E" w14:textId="77777777" w:rsidR="00553C94" w:rsidRPr="00553C94" w:rsidRDefault="00553C94" w:rsidP="005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1 977 782,56</w:t>
            </w:r>
          </w:p>
        </w:tc>
      </w:tr>
    </w:tbl>
    <w:p w14:paraId="0272D308" w14:textId="77777777" w:rsidR="000600C9" w:rsidRDefault="000600C9"/>
    <w:p w14:paraId="0A169AA6" w14:textId="63B2F7B5" w:rsidR="00474EEC" w:rsidRDefault="00553C94">
      <w:r>
        <w:rPr>
          <w:noProof/>
          <w:lang w:eastAsia="ru-RU"/>
        </w:rPr>
        <w:drawing>
          <wp:inline distT="0" distB="0" distL="0" distR="0" wp14:anchorId="63D5CC1E" wp14:editId="76B971E2">
            <wp:extent cx="8047692" cy="5116233"/>
            <wp:effectExtent l="0" t="0" r="10795" b="825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B0469"/>
    <w:rsid w:val="00100D96"/>
    <w:rsid w:val="001513CA"/>
    <w:rsid w:val="0018397C"/>
    <w:rsid w:val="001C65EB"/>
    <w:rsid w:val="00210F15"/>
    <w:rsid w:val="00211879"/>
    <w:rsid w:val="002E4C5C"/>
    <w:rsid w:val="003A31D7"/>
    <w:rsid w:val="003F35B0"/>
    <w:rsid w:val="00455875"/>
    <w:rsid w:val="00474EEC"/>
    <w:rsid w:val="004941E0"/>
    <w:rsid w:val="004A18D5"/>
    <w:rsid w:val="00511224"/>
    <w:rsid w:val="00551D7C"/>
    <w:rsid w:val="00553C94"/>
    <w:rsid w:val="00572E91"/>
    <w:rsid w:val="005F0D8D"/>
    <w:rsid w:val="00613977"/>
    <w:rsid w:val="00656FCC"/>
    <w:rsid w:val="00681313"/>
    <w:rsid w:val="0073685D"/>
    <w:rsid w:val="007760CE"/>
    <w:rsid w:val="007D5F9B"/>
    <w:rsid w:val="007F28AA"/>
    <w:rsid w:val="00824638"/>
    <w:rsid w:val="008E3328"/>
    <w:rsid w:val="009176C5"/>
    <w:rsid w:val="009451C8"/>
    <w:rsid w:val="00953CA7"/>
    <w:rsid w:val="00974624"/>
    <w:rsid w:val="009C60A4"/>
    <w:rsid w:val="00A67731"/>
    <w:rsid w:val="00A95AC3"/>
    <w:rsid w:val="00AC3CB7"/>
    <w:rsid w:val="00B86C15"/>
    <w:rsid w:val="00BC44D9"/>
    <w:rsid w:val="00BC5C59"/>
    <w:rsid w:val="00BD54F3"/>
    <w:rsid w:val="00BD5D4F"/>
    <w:rsid w:val="00BE269B"/>
    <w:rsid w:val="00C17AF9"/>
    <w:rsid w:val="00C51FDE"/>
    <w:rsid w:val="00CC3A82"/>
    <w:rsid w:val="00CC4F88"/>
    <w:rsid w:val="00CF2261"/>
    <w:rsid w:val="00D30372"/>
    <w:rsid w:val="00D969CE"/>
    <w:rsid w:val="00E16E0F"/>
    <w:rsid w:val="00E25A0D"/>
    <w:rsid w:val="00E26A54"/>
    <w:rsid w:val="00F140DC"/>
    <w:rsid w:val="00F2610D"/>
    <w:rsid w:val="00F32F5B"/>
    <w:rsid w:val="00FD3E5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0\1%20&#1082;&#1074;&#1072;&#1088;&#1090;&#1072;&#1083;\&#1056;&#1077;&#1079;&#1044;&#1077;&#1103;&#1090;_&#1085;&#1072;_01.04.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0\1%20&#1082;&#1074;&#1072;&#1088;&#1090;&#1072;&#1083;\&#1056;&#1077;&#1079;&#1044;&#1077;&#1103;&#1090;_&#1085;&#1072;_01.04.2020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01.04.2020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37B-41A1-A5B7-29FC8DA9B7B2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37B-41A1-A5B7-29FC8DA9B7B2}"/>
                </c:ext>
              </c:extLst>
            </c:dLbl>
            <c:dLbl>
              <c:idx val="2"/>
              <c:layout>
                <c:manualLayout>
                  <c:x val="7.3596310211270166E-2"/>
                  <c:y val="-4.03865684447468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37B-41A1-A5B7-29FC8DA9B7B2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37B-41A1-A5B7-29FC8DA9B7B2}"/>
                </c:ext>
              </c:extLst>
            </c:dLbl>
            <c:dLbl>
              <c:idx val="4"/>
              <c:layout>
                <c:manualLayout>
                  <c:x val="-3.4087483700530052E-2"/>
                  <c:y val="3.19115425554939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37B-41A1-A5B7-29FC8DA9B7B2}"/>
                </c:ext>
              </c:extLst>
            </c:dLbl>
            <c:dLbl>
              <c:idx val="5"/>
              <c:layout>
                <c:manualLayout>
                  <c:x val="1.1714773812948661E-3"/>
                  <c:y val="9.25414625780827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37B-41A1-A5B7-29FC8DA9B7B2}"/>
                </c:ext>
              </c:extLst>
            </c:dLbl>
            <c:dLbl>
              <c:idx val="6"/>
              <c:layout>
                <c:manualLayout>
                  <c:x val="3.9326210286037194E-2"/>
                  <c:y val="-8.18476550926545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37B-41A1-A5B7-29FC8DA9B7B2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37B-41A1-A5B7-29FC8DA9B7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0.18738932239104708</c:v>
                </c:pt>
                <c:pt idx="1">
                  <c:v>0.19072732578869578</c:v>
                </c:pt>
                <c:pt idx="2">
                  <c:v>4.4115838451679136E-2</c:v>
                </c:pt>
                <c:pt idx="3">
                  <c:v>0.15685966477775032</c:v>
                </c:pt>
                <c:pt idx="4">
                  <c:v>7.0730556016627227E-2</c:v>
                </c:pt>
                <c:pt idx="5">
                  <c:v>8.3787640957254397E-2</c:v>
                </c:pt>
                <c:pt idx="6">
                  <c:v>0.10551046126590942</c:v>
                </c:pt>
                <c:pt idx="7">
                  <c:v>0.1608791903510367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37B-41A1-A5B7-29FC8DA9B7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01.04.2020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B60-453D-B286-687E9E292BB2}"/>
                </c:ext>
              </c:extLst>
            </c:dLbl>
            <c:dLbl>
              <c:idx val="1"/>
              <c:layout>
                <c:manualLayout>
                  <c:x val="4.6103253101650706E-2"/>
                  <c:y val="7.06986802155527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B60-453D-B286-687E9E292BB2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B60-453D-B286-687E9E292BB2}"/>
                </c:ext>
              </c:extLst>
            </c:dLbl>
            <c:dLbl>
              <c:idx val="3"/>
              <c:layout>
                <c:manualLayout>
                  <c:x val="-0.10236683450960368"/>
                  <c:y val="-1.00790280486464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B60-453D-B286-687E9E292BB2}"/>
                </c:ext>
              </c:extLst>
            </c:dLbl>
            <c:dLbl>
              <c:idx val="4"/>
              <c:layout>
                <c:manualLayout>
                  <c:x val="-5.1586537022174972E-2"/>
                  <c:y val="-5.7121896964740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B60-453D-B286-687E9E292BB2}"/>
                </c:ext>
              </c:extLst>
            </c:dLbl>
            <c:dLbl>
              <c:idx val="5"/>
              <c:layout>
                <c:manualLayout>
                  <c:x val="-3.7051327028286701E-2"/>
                  <c:y val="-9.34633522449213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B60-453D-B286-687E9E292BB2}"/>
                </c:ext>
              </c:extLst>
            </c:dLbl>
            <c:dLbl>
              <c:idx val="6"/>
              <c:layout>
                <c:manualLayout>
                  <c:x val="5.4764243913456537E-2"/>
                  <c:y val="-0.170455263539267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B60-453D-B286-687E9E292BB2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B60-453D-B286-687E9E292B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Рыболовство и рыбопереработка</c:v>
                </c:pt>
                <c:pt idx="5">
                  <c:v>Сельское хоз-во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0.17451955661237431</c:v>
                </c:pt>
                <c:pt idx="1">
                  <c:v>0.37648170403417008</c:v>
                </c:pt>
                <c:pt idx="2">
                  <c:v>2.7859076217000789E-2</c:v>
                </c:pt>
                <c:pt idx="3">
                  <c:v>4.2512327757953994E-2</c:v>
                </c:pt>
                <c:pt idx="4">
                  <c:v>4.515909563586637E-2</c:v>
                </c:pt>
                <c:pt idx="5">
                  <c:v>9.8051497300058639E-3</c:v>
                </c:pt>
                <c:pt idx="6">
                  <c:v>0.14232861193584612</c:v>
                </c:pt>
                <c:pt idx="7">
                  <c:v>0.18133447807678243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B60-453D-B286-687E9E292B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41</cp:revision>
  <cp:lastPrinted>2019-02-19T04:01:00Z</cp:lastPrinted>
  <dcterms:created xsi:type="dcterms:W3CDTF">2018-07-17T03:11:00Z</dcterms:created>
  <dcterms:modified xsi:type="dcterms:W3CDTF">2020-05-06T04:52:00Z</dcterms:modified>
</cp:coreProperties>
</file>